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A317C" w14:textId="071189D4" w:rsidR="00C046C8" w:rsidRPr="00BD1C2C" w:rsidRDefault="00416BDA" w:rsidP="00251DFC">
      <w:pPr>
        <w:pageBreakBefore/>
        <w:spacing w:line="480" w:lineRule="auto"/>
        <w:rPr>
          <w:b/>
          <w:lang w:val="en-GB"/>
        </w:rPr>
      </w:pPr>
      <w:r w:rsidRPr="00BD1C2C">
        <w:rPr>
          <w:b/>
          <w:lang w:val="en-GB"/>
        </w:rPr>
        <w:t>Data</w:t>
      </w:r>
      <w:r w:rsidR="00C046C8" w:rsidRPr="00BD1C2C">
        <w:rPr>
          <w:b/>
          <w:lang w:val="en-GB"/>
        </w:rPr>
        <w:t xml:space="preserve"> supplement</w:t>
      </w:r>
    </w:p>
    <w:p w14:paraId="55A16428" w14:textId="7CF01862" w:rsidR="0000771C" w:rsidRPr="00BD1C2C" w:rsidRDefault="000B7348" w:rsidP="0000771C">
      <w:pPr>
        <w:spacing w:after="200" w:line="276" w:lineRule="auto"/>
        <w:rPr>
          <w:rFonts w:eastAsiaTheme="minorHAnsi"/>
          <w:b/>
          <w:lang w:val="en-US" w:eastAsia="en-US"/>
        </w:rPr>
      </w:pPr>
      <w:r w:rsidRPr="00BD1C2C">
        <w:rPr>
          <w:rFonts w:eastAsiaTheme="minorHAnsi"/>
          <w:b/>
          <w:lang w:val="en-US" w:eastAsia="en-US"/>
        </w:rPr>
        <w:t xml:space="preserve">Title: </w:t>
      </w:r>
      <w:r w:rsidR="0000771C" w:rsidRPr="00BD1C2C">
        <w:rPr>
          <w:rFonts w:eastAsiaTheme="minorHAnsi"/>
          <w:b/>
          <w:lang w:val="en-US" w:eastAsia="en-US"/>
        </w:rPr>
        <w:t>Influence of stent design and use of protection devices on outcome of carotid artery stenting – a pooled analysis</w:t>
      </w:r>
    </w:p>
    <w:p w14:paraId="21E46DBA" w14:textId="77777777" w:rsidR="000B7348" w:rsidRPr="00BD1C2C" w:rsidRDefault="000B7348" w:rsidP="0000771C">
      <w:pPr>
        <w:spacing w:after="200" w:line="276" w:lineRule="auto"/>
        <w:rPr>
          <w:b/>
          <w:lang w:val="en-GB"/>
        </w:rPr>
      </w:pPr>
    </w:p>
    <w:p w14:paraId="2B8C398F" w14:textId="582DB89F" w:rsidR="00C046C8" w:rsidRPr="00BD1C2C" w:rsidRDefault="00C046C8" w:rsidP="0000771C">
      <w:pPr>
        <w:spacing w:after="200" w:line="276" w:lineRule="auto"/>
        <w:rPr>
          <w:rFonts w:eastAsiaTheme="minorHAnsi"/>
          <w:u w:val="single"/>
          <w:lang w:val="en-US" w:eastAsia="en-US"/>
        </w:rPr>
      </w:pPr>
      <w:r w:rsidRPr="00BD1C2C">
        <w:rPr>
          <w:u w:val="single"/>
          <w:lang w:val="en-GB"/>
        </w:rPr>
        <w:t>Content</w:t>
      </w:r>
      <w:r w:rsidR="002D625D" w:rsidRPr="00BD1C2C">
        <w:rPr>
          <w:u w:val="single"/>
          <w:lang w:val="en-GB"/>
        </w:rPr>
        <w:t>:</w:t>
      </w:r>
    </w:p>
    <w:p w14:paraId="159E17F0" w14:textId="1CC0F885" w:rsidR="000B7348" w:rsidRPr="00BD1C2C" w:rsidRDefault="000B7348" w:rsidP="002D625D">
      <w:pPr>
        <w:rPr>
          <w:lang w:val="en-GB"/>
        </w:rPr>
      </w:pPr>
      <w:r w:rsidRPr="00BD1C2C">
        <w:rPr>
          <w:b/>
          <w:lang w:val="en-GB"/>
        </w:rPr>
        <w:t xml:space="preserve">Supplementary table 1. </w:t>
      </w:r>
      <w:r w:rsidR="00106F82" w:rsidRPr="00BD1C2C">
        <w:rPr>
          <w:lang w:val="en-GB"/>
        </w:rPr>
        <w:t>Patient baseline characteristics for implanted stent type</w:t>
      </w:r>
    </w:p>
    <w:p w14:paraId="2B9435C5" w14:textId="77777777" w:rsidR="00106F82" w:rsidRPr="00BD1C2C" w:rsidRDefault="00106F82" w:rsidP="002D625D">
      <w:pPr>
        <w:rPr>
          <w:lang w:val="en-GB"/>
        </w:rPr>
      </w:pPr>
    </w:p>
    <w:p w14:paraId="6FBAD73A" w14:textId="3E3664F8" w:rsidR="00106F82" w:rsidRPr="00BD1C2C" w:rsidRDefault="00106F82" w:rsidP="00106F82">
      <w:pPr>
        <w:rPr>
          <w:b/>
          <w:lang w:val="en-GB"/>
        </w:rPr>
      </w:pPr>
      <w:r w:rsidRPr="00BD1C2C">
        <w:rPr>
          <w:b/>
          <w:lang w:val="en-GB"/>
        </w:rPr>
        <w:t xml:space="preserve">Supplementary table 2. </w:t>
      </w:r>
      <w:r w:rsidRPr="00BD1C2C">
        <w:rPr>
          <w:lang w:val="en-GB"/>
        </w:rPr>
        <w:t>Procedure-related characteristics in contributing trials.</w:t>
      </w:r>
    </w:p>
    <w:p w14:paraId="5D79FD15" w14:textId="77777777" w:rsidR="000B7348" w:rsidRPr="00BD1C2C" w:rsidRDefault="000B7348" w:rsidP="002D625D">
      <w:pPr>
        <w:rPr>
          <w:b/>
          <w:lang w:val="en-GB"/>
        </w:rPr>
      </w:pPr>
    </w:p>
    <w:p w14:paraId="3D88F36C" w14:textId="056D3C77" w:rsidR="00C046C8" w:rsidRPr="00BD1C2C" w:rsidRDefault="002D625D" w:rsidP="002D625D">
      <w:pPr>
        <w:rPr>
          <w:lang w:val="en-GB"/>
        </w:rPr>
      </w:pPr>
      <w:r w:rsidRPr="00BD1C2C">
        <w:rPr>
          <w:b/>
          <w:lang w:val="en-GB"/>
        </w:rPr>
        <w:t xml:space="preserve">Supplementary table </w:t>
      </w:r>
      <w:r w:rsidR="00106F82" w:rsidRPr="00BD1C2C">
        <w:rPr>
          <w:b/>
          <w:lang w:val="en-GB"/>
        </w:rPr>
        <w:t>3</w:t>
      </w:r>
      <w:r w:rsidRPr="00BD1C2C">
        <w:rPr>
          <w:lang w:val="en-GB"/>
        </w:rPr>
        <w:t>: Risk of procedural stroke or death in the stenting versus endarterectomy groups at study sites according to the frequency of closed-cell stent use</w:t>
      </w:r>
    </w:p>
    <w:p w14:paraId="75C9FEAC" w14:textId="77777777" w:rsidR="002D625D" w:rsidRPr="00BD1C2C" w:rsidRDefault="002D625D" w:rsidP="0000771C">
      <w:pPr>
        <w:rPr>
          <w:b/>
          <w:lang w:val="en-GB"/>
        </w:rPr>
      </w:pPr>
    </w:p>
    <w:p w14:paraId="49EF5338" w14:textId="447F3607" w:rsidR="00C046C8" w:rsidRPr="00BD1C2C" w:rsidRDefault="0000771C" w:rsidP="0000771C">
      <w:pPr>
        <w:rPr>
          <w:lang w:val="en-GB"/>
        </w:rPr>
      </w:pPr>
      <w:r w:rsidRPr="00BD1C2C">
        <w:rPr>
          <w:b/>
          <w:lang w:val="en-GB"/>
        </w:rPr>
        <w:t xml:space="preserve">Supplementary figure </w:t>
      </w:r>
      <w:r w:rsidR="002D625D" w:rsidRPr="00BD1C2C">
        <w:rPr>
          <w:b/>
          <w:lang w:val="en-GB"/>
        </w:rPr>
        <w:t>1</w:t>
      </w:r>
      <w:r w:rsidR="00C046C8" w:rsidRPr="00BD1C2C">
        <w:rPr>
          <w:b/>
          <w:lang w:val="en-GB"/>
        </w:rPr>
        <w:t>:</w:t>
      </w:r>
      <w:r w:rsidR="00C046C8" w:rsidRPr="00BD1C2C">
        <w:rPr>
          <w:lang w:val="en-GB"/>
        </w:rPr>
        <w:t xml:space="preserve"> Effect of stent treatment with versus without use of protection devices in contributing trials</w:t>
      </w:r>
    </w:p>
    <w:p w14:paraId="6213CE2E" w14:textId="77777777" w:rsidR="002D625D" w:rsidRPr="00BD1C2C" w:rsidRDefault="002D625D" w:rsidP="0000771C">
      <w:pPr>
        <w:rPr>
          <w:b/>
          <w:lang w:val="en-GB"/>
        </w:rPr>
      </w:pPr>
    </w:p>
    <w:p w14:paraId="7D587524" w14:textId="64011303" w:rsidR="00C046C8" w:rsidRPr="00BD1C2C" w:rsidRDefault="0000771C" w:rsidP="0000771C">
      <w:pPr>
        <w:rPr>
          <w:lang w:val="en-GB"/>
        </w:rPr>
      </w:pPr>
      <w:r w:rsidRPr="00BD1C2C">
        <w:rPr>
          <w:b/>
          <w:lang w:val="en-GB"/>
        </w:rPr>
        <w:t xml:space="preserve">Supplementary figure </w:t>
      </w:r>
      <w:r w:rsidR="002D625D" w:rsidRPr="00BD1C2C">
        <w:rPr>
          <w:b/>
          <w:lang w:val="en-GB"/>
        </w:rPr>
        <w:t>2</w:t>
      </w:r>
      <w:r w:rsidR="00C046C8" w:rsidRPr="00BD1C2C">
        <w:rPr>
          <w:b/>
          <w:lang w:val="en-GB"/>
        </w:rPr>
        <w:t>:</w:t>
      </w:r>
      <w:r w:rsidR="00C046C8" w:rsidRPr="00BD1C2C">
        <w:rPr>
          <w:lang w:val="en-GB"/>
        </w:rPr>
        <w:t xml:space="preserve"> Effect of stent treatment with versus without use of protection devices on risk of procedural stroke or death according to stent design and patient age</w:t>
      </w:r>
    </w:p>
    <w:p w14:paraId="1D6A34E1" w14:textId="77777777" w:rsidR="002D625D" w:rsidRPr="00BD1C2C" w:rsidRDefault="002D625D" w:rsidP="0000771C">
      <w:pPr>
        <w:rPr>
          <w:b/>
          <w:lang w:val="en-GB"/>
        </w:rPr>
      </w:pPr>
    </w:p>
    <w:p w14:paraId="1DAE6E8F" w14:textId="64825A1A" w:rsidR="00251DFC" w:rsidRPr="00BD1C2C" w:rsidRDefault="00C046C8" w:rsidP="00C046C8">
      <w:pPr>
        <w:rPr>
          <w:b/>
          <w:lang w:val="en-GB"/>
        </w:rPr>
      </w:pPr>
      <w:r w:rsidRPr="00BD1C2C">
        <w:rPr>
          <w:b/>
          <w:lang w:val="en-GB"/>
        </w:rPr>
        <w:t>Statistical analysis plan</w:t>
      </w:r>
    </w:p>
    <w:p w14:paraId="47D420CA" w14:textId="77777777" w:rsidR="00251DFC" w:rsidRPr="00BD1C2C" w:rsidRDefault="00251DFC" w:rsidP="00C046C8">
      <w:pPr>
        <w:rPr>
          <w:sz w:val="20"/>
          <w:szCs w:val="20"/>
          <w:lang w:val="en-GB"/>
        </w:rPr>
      </w:pPr>
    </w:p>
    <w:p w14:paraId="7AD9E7BF" w14:textId="149C8E90" w:rsidR="00251DFC" w:rsidRPr="00BD1C2C" w:rsidRDefault="0013066A" w:rsidP="00C046C8">
      <w:pPr>
        <w:rPr>
          <w:sz w:val="20"/>
          <w:szCs w:val="20"/>
          <w:lang w:val="en-GB"/>
        </w:rPr>
      </w:pPr>
      <w:r w:rsidRPr="00BD1C2C">
        <w:rPr>
          <w:sz w:val="20"/>
          <w:szCs w:val="20"/>
          <w:lang w:val="en-GB"/>
        </w:rPr>
        <w:br w:type="page"/>
      </w:r>
    </w:p>
    <w:p w14:paraId="78EB4C74" w14:textId="1ACFCDA8" w:rsidR="00106F82" w:rsidRPr="00BD1C2C" w:rsidRDefault="00106F82" w:rsidP="00106F82">
      <w:pPr>
        <w:pageBreakBefore/>
        <w:spacing w:before="240" w:after="240" w:line="480" w:lineRule="auto"/>
        <w:rPr>
          <w:b/>
          <w:lang w:val="en-GB"/>
        </w:rPr>
      </w:pPr>
      <w:r w:rsidRPr="00BD1C2C">
        <w:rPr>
          <w:b/>
          <w:lang w:val="en-GB"/>
        </w:rPr>
        <w:lastRenderedPageBreak/>
        <w:t>Supplementary table 1:  Patient baseline characteristics for implanted stent type.</w:t>
      </w:r>
    </w:p>
    <w:p w14:paraId="0D55410B" w14:textId="77777777" w:rsidR="00106F82" w:rsidRPr="00BD1C2C" w:rsidRDefault="00106F82" w:rsidP="00C046C8">
      <w:pPr>
        <w:rPr>
          <w:sz w:val="20"/>
          <w:szCs w:val="20"/>
          <w:lang w:val="en-GB"/>
        </w:rPr>
      </w:pPr>
    </w:p>
    <w:tbl>
      <w:tblPr>
        <w:tblStyle w:val="Tabellenraster"/>
        <w:tblW w:w="9464" w:type="dxa"/>
        <w:tblLayout w:type="fixed"/>
        <w:tblLook w:val="04A0" w:firstRow="1" w:lastRow="0" w:firstColumn="1" w:lastColumn="0" w:noHBand="0" w:noVBand="1"/>
      </w:tblPr>
      <w:tblGrid>
        <w:gridCol w:w="4786"/>
        <w:gridCol w:w="1559"/>
        <w:gridCol w:w="1559"/>
        <w:gridCol w:w="1560"/>
      </w:tblGrid>
      <w:tr w:rsidR="00E27480" w:rsidRPr="00BD1C2C" w14:paraId="55A4B0A3"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tcPr>
          <w:p w14:paraId="56BF19F9" w14:textId="77777777" w:rsidR="00E27480" w:rsidRPr="00BD1C2C" w:rsidRDefault="00E27480" w:rsidP="0013066A">
            <w:pPr>
              <w:rPr>
                <w:bCs/>
                <w:sz w:val="20"/>
                <w:szCs w:val="20"/>
                <w:lang w:val="en-GB"/>
              </w:rPr>
            </w:pPr>
          </w:p>
        </w:tc>
        <w:tc>
          <w:tcPr>
            <w:tcW w:w="1559" w:type="dxa"/>
            <w:tcBorders>
              <w:top w:val="single" w:sz="4" w:space="0" w:color="auto"/>
              <w:left w:val="single" w:sz="4" w:space="0" w:color="auto"/>
              <w:right w:val="single" w:sz="4" w:space="0" w:color="auto"/>
            </w:tcBorders>
          </w:tcPr>
          <w:p w14:paraId="5B9DC57C" w14:textId="77777777" w:rsidR="00E27480" w:rsidRPr="00BD1C2C" w:rsidRDefault="00E27480" w:rsidP="0013066A">
            <w:pPr>
              <w:rPr>
                <w:sz w:val="20"/>
                <w:szCs w:val="20"/>
                <w:lang w:val="en-GB"/>
              </w:rPr>
            </w:pPr>
            <w:r w:rsidRPr="00BD1C2C">
              <w:rPr>
                <w:sz w:val="20"/>
                <w:szCs w:val="20"/>
                <w:lang w:val="en-GB"/>
              </w:rPr>
              <w:t>Total</w:t>
            </w:r>
          </w:p>
          <w:p w14:paraId="4EAE1730" w14:textId="77777777" w:rsidR="00E27480" w:rsidRPr="00BD1C2C" w:rsidRDefault="00E27480" w:rsidP="0013066A">
            <w:pPr>
              <w:rPr>
                <w:sz w:val="20"/>
                <w:szCs w:val="20"/>
                <w:lang w:val="en-GB"/>
              </w:rPr>
            </w:pPr>
            <w:r w:rsidRPr="00BD1C2C">
              <w:rPr>
                <w:sz w:val="20"/>
                <w:szCs w:val="20"/>
                <w:lang w:val="en-GB"/>
              </w:rPr>
              <w:t>(n=1557)</w:t>
            </w:r>
          </w:p>
          <w:p w14:paraId="2974AD5B" w14:textId="77777777" w:rsidR="00E27480" w:rsidRPr="00BD1C2C" w:rsidRDefault="00E27480" w:rsidP="0013066A">
            <w:pPr>
              <w:rPr>
                <w:sz w:val="20"/>
                <w:szCs w:val="20"/>
                <w:lang w:val="en-GB"/>
              </w:rPr>
            </w:pPr>
          </w:p>
        </w:tc>
        <w:tc>
          <w:tcPr>
            <w:tcW w:w="1559" w:type="dxa"/>
            <w:tcBorders>
              <w:top w:val="single" w:sz="4" w:space="0" w:color="auto"/>
              <w:left w:val="single" w:sz="4" w:space="0" w:color="auto"/>
              <w:right w:val="single" w:sz="4" w:space="0" w:color="auto"/>
            </w:tcBorders>
          </w:tcPr>
          <w:p w14:paraId="03588B49" w14:textId="77777777" w:rsidR="00E27480" w:rsidRPr="00BD1C2C" w:rsidRDefault="00E27480" w:rsidP="0013066A">
            <w:pPr>
              <w:rPr>
                <w:bCs/>
                <w:sz w:val="20"/>
                <w:szCs w:val="20"/>
                <w:lang w:val="en-GB"/>
              </w:rPr>
            </w:pPr>
            <w:r w:rsidRPr="00BD1C2C">
              <w:rPr>
                <w:bCs/>
                <w:sz w:val="20"/>
                <w:szCs w:val="20"/>
                <w:lang w:val="en-GB"/>
              </w:rPr>
              <w:t>Open Cell Stent</w:t>
            </w:r>
          </w:p>
          <w:p w14:paraId="45105275" w14:textId="26989F69" w:rsidR="004250EE" w:rsidRPr="00BD1C2C" w:rsidRDefault="004250EE" w:rsidP="0013066A">
            <w:pPr>
              <w:rPr>
                <w:bCs/>
                <w:sz w:val="20"/>
                <w:szCs w:val="20"/>
                <w:lang w:val="en-GB"/>
              </w:rPr>
            </w:pPr>
            <w:r w:rsidRPr="00BD1C2C">
              <w:rPr>
                <w:bCs/>
                <w:sz w:val="20"/>
                <w:szCs w:val="20"/>
                <w:lang w:val="en-GB"/>
              </w:rPr>
              <w:t>(n=595)</w:t>
            </w:r>
          </w:p>
        </w:tc>
        <w:tc>
          <w:tcPr>
            <w:tcW w:w="1560" w:type="dxa"/>
            <w:tcBorders>
              <w:top w:val="single" w:sz="4" w:space="0" w:color="auto"/>
              <w:left w:val="single" w:sz="4" w:space="0" w:color="auto"/>
              <w:right w:val="single" w:sz="4" w:space="0" w:color="auto"/>
            </w:tcBorders>
          </w:tcPr>
          <w:p w14:paraId="482838C4" w14:textId="77777777" w:rsidR="00E27480" w:rsidRPr="00BD1C2C" w:rsidRDefault="00E27480" w:rsidP="0013066A">
            <w:pPr>
              <w:rPr>
                <w:sz w:val="20"/>
                <w:szCs w:val="20"/>
                <w:lang w:val="en-GB"/>
              </w:rPr>
            </w:pPr>
            <w:r w:rsidRPr="00BD1C2C">
              <w:rPr>
                <w:sz w:val="20"/>
                <w:szCs w:val="20"/>
                <w:lang w:val="en-GB"/>
              </w:rPr>
              <w:t>Closed Cell Stent</w:t>
            </w:r>
          </w:p>
          <w:p w14:paraId="0CA3BDA2" w14:textId="5CF299BF" w:rsidR="004250EE" w:rsidRPr="00BD1C2C" w:rsidRDefault="004250EE" w:rsidP="0013066A">
            <w:pPr>
              <w:rPr>
                <w:sz w:val="20"/>
                <w:szCs w:val="20"/>
                <w:lang w:val="en-GB"/>
              </w:rPr>
            </w:pPr>
            <w:r w:rsidRPr="00BD1C2C">
              <w:rPr>
                <w:sz w:val="20"/>
                <w:szCs w:val="20"/>
                <w:lang w:val="en-GB"/>
              </w:rPr>
              <w:t>(n=962)</w:t>
            </w:r>
          </w:p>
        </w:tc>
      </w:tr>
      <w:tr w:rsidR="00E27480" w:rsidRPr="00BD1C2C" w14:paraId="72457C45"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2A193A34" w14:textId="77777777" w:rsidR="00E27480" w:rsidRPr="00BD1C2C" w:rsidRDefault="00E27480" w:rsidP="0013066A">
            <w:pPr>
              <w:rPr>
                <w:bCs/>
                <w:sz w:val="20"/>
                <w:szCs w:val="20"/>
                <w:lang w:val="en-GB"/>
              </w:rPr>
            </w:pPr>
            <w:r w:rsidRPr="00BD1C2C">
              <w:rPr>
                <w:bCs/>
                <w:sz w:val="20"/>
                <w:szCs w:val="20"/>
                <w:lang w:val="en-GB"/>
              </w:rPr>
              <w:t>Age (years; mean, SD)</w:t>
            </w:r>
          </w:p>
        </w:tc>
        <w:tc>
          <w:tcPr>
            <w:tcW w:w="1559" w:type="dxa"/>
            <w:tcBorders>
              <w:left w:val="single" w:sz="4" w:space="0" w:color="auto"/>
              <w:right w:val="single" w:sz="4" w:space="0" w:color="auto"/>
            </w:tcBorders>
          </w:tcPr>
          <w:p w14:paraId="236622EE" w14:textId="07BC70EC" w:rsidR="00E27480" w:rsidRPr="00BD1C2C" w:rsidRDefault="00E27480" w:rsidP="0013066A">
            <w:pPr>
              <w:rPr>
                <w:bCs/>
                <w:sz w:val="20"/>
                <w:szCs w:val="20"/>
                <w:lang w:val="en-GB"/>
              </w:rPr>
            </w:pPr>
            <w:r w:rsidRPr="00BD1C2C">
              <w:rPr>
                <w:bCs/>
                <w:sz w:val="20"/>
                <w:szCs w:val="20"/>
                <w:lang w:val="en-GB"/>
              </w:rPr>
              <w:t>69.1 (±8.9)</w:t>
            </w:r>
            <w:r w:rsidRPr="00BD1C2C">
              <w:rPr>
                <w:sz w:val="20"/>
                <w:szCs w:val="20"/>
                <w:lang w:val="en-GB"/>
              </w:rPr>
              <w:t xml:space="preserve"> </w:t>
            </w:r>
          </w:p>
        </w:tc>
        <w:tc>
          <w:tcPr>
            <w:tcW w:w="1559" w:type="dxa"/>
            <w:tcBorders>
              <w:left w:val="single" w:sz="4" w:space="0" w:color="auto"/>
              <w:right w:val="single" w:sz="4" w:space="0" w:color="auto"/>
            </w:tcBorders>
          </w:tcPr>
          <w:p w14:paraId="0F817E19" w14:textId="1FAEF73D" w:rsidR="00E27480" w:rsidRPr="00BD1C2C" w:rsidRDefault="004250EE" w:rsidP="004250EE">
            <w:pPr>
              <w:rPr>
                <w:bCs/>
                <w:sz w:val="20"/>
                <w:szCs w:val="20"/>
                <w:lang w:val="en-GB"/>
              </w:rPr>
            </w:pPr>
            <w:r w:rsidRPr="00BD1C2C">
              <w:rPr>
                <w:bCs/>
                <w:sz w:val="20"/>
                <w:szCs w:val="20"/>
                <w:lang w:val="en-GB"/>
              </w:rPr>
              <w:t>69.5 (±9.1)</w:t>
            </w:r>
          </w:p>
        </w:tc>
        <w:tc>
          <w:tcPr>
            <w:tcW w:w="1560" w:type="dxa"/>
            <w:tcBorders>
              <w:left w:val="single" w:sz="4" w:space="0" w:color="auto"/>
              <w:right w:val="single" w:sz="4" w:space="0" w:color="auto"/>
            </w:tcBorders>
          </w:tcPr>
          <w:p w14:paraId="75CF47FD" w14:textId="74A6373A" w:rsidR="00E27480" w:rsidRPr="00BD1C2C" w:rsidRDefault="004250EE" w:rsidP="0013066A">
            <w:pPr>
              <w:rPr>
                <w:bCs/>
                <w:sz w:val="20"/>
                <w:szCs w:val="20"/>
                <w:lang w:val="en-GB"/>
              </w:rPr>
            </w:pPr>
            <w:r w:rsidRPr="00BD1C2C">
              <w:rPr>
                <w:bCs/>
                <w:sz w:val="20"/>
                <w:szCs w:val="20"/>
                <w:lang w:val="en-GB"/>
              </w:rPr>
              <w:t>68.9 (±8.8)</w:t>
            </w:r>
          </w:p>
        </w:tc>
      </w:tr>
      <w:tr w:rsidR="00E27480" w:rsidRPr="00BD1C2C" w14:paraId="356D2F1D"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6EBD6763" w14:textId="7D9DCD2F" w:rsidR="00E27480" w:rsidRPr="00BD1C2C" w:rsidRDefault="00E27480" w:rsidP="0013066A">
            <w:pPr>
              <w:rPr>
                <w:bCs/>
                <w:sz w:val="20"/>
                <w:szCs w:val="20"/>
                <w:lang w:val="en-GB"/>
              </w:rPr>
            </w:pPr>
            <w:r w:rsidRPr="00BD1C2C">
              <w:rPr>
                <w:bCs/>
                <w:sz w:val="20"/>
                <w:szCs w:val="20"/>
                <w:lang w:val="en-GB"/>
              </w:rPr>
              <w:t xml:space="preserve">Male </w:t>
            </w:r>
            <w:proofErr w:type="gramStart"/>
            <w:r w:rsidRPr="00BD1C2C">
              <w:rPr>
                <w:bCs/>
                <w:sz w:val="20"/>
                <w:szCs w:val="20"/>
                <w:lang w:val="en-GB"/>
              </w:rPr>
              <w:t xml:space="preserve">sex </w:t>
            </w:r>
            <w:r w:rsidR="006B370D" w:rsidRPr="00BD1C2C">
              <w:rPr>
                <w:bCs/>
                <w:sz w:val="20"/>
                <w:szCs w:val="20"/>
                <w:lang w:val="en-GB"/>
              </w:rPr>
              <w:t xml:space="preserve"> (</w:t>
            </w:r>
            <w:proofErr w:type="gramEnd"/>
            <w:r w:rsidR="006B370D" w:rsidRPr="00BD1C2C">
              <w:rPr>
                <w:bCs/>
                <w:sz w:val="20"/>
                <w:szCs w:val="20"/>
                <w:lang w:val="en-GB"/>
              </w:rPr>
              <w:t>n, %)</w:t>
            </w:r>
          </w:p>
        </w:tc>
        <w:tc>
          <w:tcPr>
            <w:tcW w:w="1559" w:type="dxa"/>
            <w:tcBorders>
              <w:left w:val="single" w:sz="4" w:space="0" w:color="auto"/>
              <w:right w:val="single" w:sz="4" w:space="0" w:color="auto"/>
            </w:tcBorders>
          </w:tcPr>
          <w:p w14:paraId="3CC6A23C" w14:textId="619A91A1" w:rsidR="00E27480" w:rsidRPr="00BD1C2C" w:rsidRDefault="004250EE" w:rsidP="0013066A">
            <w:pPr>
              <w:rPr>
                <w:bCs/>
                <w:sz w:val="20"/>
                <w:szCs w:val="20"/>
                <w:lang w:val="en-GB"/>
              </w:rPr>
            </w:pPr>
            <w:r w:rsidRPr="00BD1C2C">
              <w:rPr>
                <w:bCs/>
                <w:sz w:val="20"/>
                <w:szCs w:val="20"/>
                <w:lang w:val="en-GB"/>
              </w:rPr>
              <w:t>1104</w:t>
            </w:r>
            <w:r w:rsidR="00E27480" w:rsidRPr="00BD1C2C">
              <w:rPr>
                <w:bCs/>
                <w:sz w:val="20"/>
                <w:szCs w:val="20"/>
                <w:lang w:val="en-GB"/>
              </w:rPr>
              <w:t xml:space="preserve"> (71)</w:t>
            </w:r>
          </w:p>
        </w:tc>
        <w:tc>
          <w:tcPr>
            <w:tcW w:w="1559" w:type="dxa"/>
            <w:tcBorders>
              <w:left w:val="single" w:sz="4" w:space="0" w:color="auto"/>
              <w:right w:val="single" w:sz="4" w:space="0" w:color="auto"/>
            </w:tcBorders>
          </w:tcPr>
          <w:p w14:paraId="65DE5357" w14:textId="6415874A" w:rsidR="00E27480" w:rsidRPr="00BD1C2C" w:rsidRDefault="004250EE" w:rsidP="0013066A">
            <w:pPr>
              <w:rPr>
                <w:bCs/>
                <w:sz w:val="20"/>
                <w:szCs w:val="20"/>
                <w:lang w:val="en-GB"/>
              </w:rPr>
            </w:pPr>
            <w:r w:rsidRPr="00BD1C2C">
              <w:rPr>
                <w:bCs/>
                <w:sz w:val="20"/>
                <w:szCs w:val="20"/>
                <w:lang w:val="en-GB"/>
              </w:rPr>
              <w:t>409 (69)</w:t>
            </w:r>
          </w:p>
        </w:tc>
        <w:tc>
          <w:tcPr>
            <w:tcW w:w="1560" w:type="dxa"/>
            <w:tcBorders>
              <w:left w:val="single" w:sz="4" w:space="0" w:color="auto"/>
              <w:right w:val="single" w:sz="4" w:space="0" w:color="auto"/>
            </w:tcBorders>
          </w:tcPr>
          <w:p w14:paraId="1D301F34" w14:textId="01D1AE3A" w:rsidR="00E27480" w:rsidRPr="00BD1C2C" w:rsidRDefault="004250EE" w:rsidP="0013066A">
            <w:pPr>
              <w:rPr>
                <w:bCs/>
                <w:sz w:val="20"/>
                <w:szCs w:val="20"/>
                <w:lang w:val="en-GB"/>
              </w:rPr>
            </w:pPr>
            <w:r w:rsidRPr="00BD1C2C">
              <w:rPr>
                <w:bCs/>
                <w:sz w:val="20"/>
                <w:szCs w:val="20"/>
                <w:lang w:val="en-GB"/>
              </w:rPr>
              <w:t>695 (73)</w:t>
            </w:r>
          </w:p>
        </w:tc>
      </w:tr>
      <w:tr w:rsidR="00E27480" w:rsidRPr="00BD1C2C" w14:paraId="7508A1D4"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38B52F0C" w14:textId="65782AF0" w:rsidR="00E27480" w:rsidRPr="00BD1C2C" w:rsidRDefault="00E27480" w:rsidP="0013066A">
            <w:pPr>
              <w:rPr>
                <w:bCs/>
                <w:sz w:val="20"/>
                <w:szCs w:val="20"/>
                <w:lang w:val="en-GB"/>
              </w:rPr>
            </w:pPr>
            <w:r w:rsidRPr="00BD1C2C">
              <w:rPr>
                <w:bCs/>
                <w:sz w:val="20"/>
                <w:szCs w:val="20"/>
                <w:lang w:val="en-GB"/>
              </w:rPr>
              <w:t xml:space="preserve">History of hypertension </w:t>
            </w:r>
            <w:r w:rsidR="006B370D" w:rsidRPr="00BD1C2C">
              <w:rPr>
                <w:bCs/>
                <w:sz w:val="20"/>
                <w:szCs w:val="20"/>
                <w:lang w:val="en-GB"/>
              </w:rPr>
              <w:t>(n, %)</w:t>
            </w:r>
          </w:p>
        </w:tc>
        <w:tc>
          <w:tcPr>
            <w:tcW w:w="1559" w:type="dxa"/>
            <w:tcBorders>
              <w:left w:val="single" w:sz="4" w:space="0" w:color="auto"/>
              <w:right w:val="single" w:sz="4" w:space="0" w:color="auto"/>
            </w:tcBorders>
          </w:tcPr>
          <w:p w14:paraId="6BE3C801" w14:textId="50909485" w:rsidR="00E27480" w:rsidRPr="00BD1C2C" w:rsidRDefault="004250EE" w:rsidP="0013066A">
            <w:pPr>
              <w:rPr>
                <w:bCs/>
                <w:sz w:val="20"/>
                <w:szCs w:val="20"/>
                <w:lang w:val="en-GB"/>
              </w:rPr>
            </w:pPr>
            <w:r w:rsidRPr="00BD1C2C">
              <w:rPr>
                <w:bCs/>
                <w:sz w:val="20"/>
                <w:szCs w:val="20"/>
                <w:lang w:val="en-GB"/>
              </w:rPr>
              <w:t>1106</w:t>
            </w:r>
            <w:r w:rsidR="00E27480" w:rsidRPr="00BD1C2C">
              <w:rPr>
                <w:bCs/>
                <w:sz w:val="20"/>
                <w:szCs w:val="20"/>
                <w:lang w:val="en-GB"/>
              </w:rPr>
              <w:t xml:space="preserve"> (72)</w:t>
            </w:r>
          </w:p>
        </w:tc>
        <w:tc>
          <w:tcPr>
            <w:tcW w:w="1559" w:type="dxa"/>
            <w:tcBorders>
              <w:left w:val="single" w:sz="4" w:space="0" w:color="auto"/>
              <w:right w:val="single" w:sz="4" w:space="0" w:color="auto"/>
            </w:tcBorders>
          </w:tcPr>
          <w:p w14:paraId="57837195" w14:textId="4FDE4744" w:rsidR="00E27480" w:rsidRPr="00BD1C2C" w:rsidRDefault="001455D0" w:rsidP="0013066A">
            <w:pPr>
              <w:rPr>
                <w:bCs/>
                <w:sz w:val="20"/>
                <w:szCs w:val="20"/>
                <w:lang w:val="en-GB"/>
              </w:rPr>
            </w:pPr>
            <w:r w:rsidRPr="00BD1C2C">
              <w:rPr>
                <w:bCs/>
                <w:sz w:val="20"/>
                <w:szCs w:val="20"/>
                <w:lang w:val="en-GB"/>
              </w:rPr>
              <w:t>421 (72)</w:t>
            </w:r>
          </w:p>
        </w:tc>
        <w:tc>
          <w:tcPr>
            <w:tcW w:w="1560" w:type="dxa"/>
            <w:tcBorders>
              <w:left w:val="single" w:sz="4" w:space="0" w:color="auto"/>
              <w:right w:val="single" w:sz="4" w:space="0" w:color="auto"/>
            </w:tcBorders>
          </w:tcPr>
          <w:p w14:paraId="68A939C4" w14:textId="1D60E02F" w:rsidR="00E27480" w:rsidRPr="00BD1C2C" w:rsidRDefault="001455D0" w:rsidP="0013066A">
            <w:pPr>
              <w:rPr>
                <w:bCs/>
                <w:sz w:val="20"/>
                <w:szCs w:val="20"/>
                <w:lang w:val="en-GB"/>
              </w:rPr>
            </w:pPr>
            <w:r w:rsidRPr="00BD1C2C">
              <w:rPr>
                <w:bCs/>
                <w:sz w:val="20"/>
                <w:szCs w:val="20"/>
                <w:lang w:val="en-GB"/>
              </w:rPr>
              <w:t>685 (72)</w:t>
            </w:r>
          </w:p>
        </w:tc>
      </w:tr>
      <w:tr w:rsidR="00E27480" w:rsidRPr="00BD1C2C" w14:paraId="3C55CCC3"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157400B3" w14:textId="77777777" w:rsidR="00E27480" w:rsidRPr="00BD1C2C" w:rsidRDefault="00E27480" w:rsidP="0013066A">
            <w:pPr>
              <w:rPr>
                <w:bCs/>
                <w:sz w:val="20"/>
                <w:szCs w:val="20"/>
                <w:lang w:val="en-GB"/>
              </w:rPr>
            </w:pPr>
            <w:r w:rsidRPr="00BD1C2C">
              <w:rPr>
                <w:bCs/>
                <w:sz w:val="20"/>
                <w:szCs w:val="20"/>
                <w:lang w:val="en-GB"/>
              </w:rPr>
              <w:t xml:space="preserve">Systolic blood pressure at randomisation </w:t>
            </w:r>
          </w:p>
          <w:p w14:paraId="67353A0C" w14:textId="7744971F" w:rsidR="00E27480" w:rsidRPr="00BD1C2C" w:rsidRDefault="00E27480" w:rsidP="0013066A">
            <w:pPr>
              <w:rPr>
                <w:bCs/>
                <w:sz w:val="20"/>
                <w:szCs w:val="20"/>
                <w:lang w:val="en-GB"/>
              </w:rPr>
            </w:pPr>
            <w:r w:rsidRPr="00BD1C2C">
              <w:rPr>
                <w:bCs/>
                <w:sz w:val="20"/>
                <w:szCs w:val="20"/>
                <w:lang w:val="en-GB"/>
              </w:rPr>
              <w:t>(mm Hg; mean, SD)</w:t>
            </w:r>
          </w:p>
        </w:tc>
        <w:tc>
          <w:tcPr>
            <w:tcW w:w="1559" w:type="dxa"/>
            <w:tcBorders>
              <w:left w:val="single" w:sz="4" w:space="0" w:color="auto"/>
              <w:right w:val="single" w:sz="4" w:space="0" w:color="auto"/>
            </w:tcBorders>
          </w:tcPr>
          <w:p w14:paraId="79B471F0" w14:textId="219C2FC8" w:rsidR="00E27480" w:rsidRPr="00BD1C2C" w:rsidRDefault="00E27480" w:rsidP="0013066A">
            <w:pPr>
              <w:rPr>
                <w:bCs/>
                <w:sz w:val="20"/>
                <w:szCs w:val="20"/>
                <w:lang w:val="en-GB"/>
              </w:rPr>
            </w:pPr>
            <w:r w:rsidRPr="00BD1C2C">
              <w:rPr>
                <w:bCs/>
                <w:sz w:val="20"/>
                <w:szCs w:val="20"/>
                <w:lang w:val="en-GB"/>
              </w:rPr>
              <w:t>145 (±21.1)</w:t>
            </w:r>
          </w:p>
        </w:tc>
        <w:tc>
          <w:tcPr>
            <w:tcW w:w="1559" w:type="dxa"/>
            <w:tcBorders>
              <w:left w:val="single" w:sz="4" w:space="0" w:color="auto"/>
              <w:right w:val="single" w:sz="4" w:space="0" w:color="auto"/>
            </w:tcBorders>
          </w:tcPr>
          <w:p w14:paraId="74EC8D2C" w14:textId="3E650893" w:rsidR="00E27480" w:rsidRPr="00BD1C2C" w:rsidRDefault="001455D0" w:rsidP="0013066A">
            <w:pPr>
              <w:rPr>
                <w:bCs/>
                <w:sz w:val="20"/>
                <w:szCs w:val="20"/>
                <w:lang w:val="en-GB"/>
              </w:rPr>
            </w:pPr>
            <w:r w:rsidRPr="00BD1C2C">
              <w:rPr>
                <w:bCs/>
                <w:sz w:val="20"/>
                <w:szCs w:val="20"/>
                <w:lang w:val="en-GB"/>
              </w:rPr>
              <w:t>146.9 (±23)</w:t>
            </w:r>
          </w:p>
        </w:tc>
        <w:tc>
          <w:tcPr>
            <w:tcW w:w="1560" w:type="dxa"/>
            <w:tcBorders>
              <w:left w:val="single" w:sz="4" w:space="0" w:color="auto"/>
              <w:right w:val="single" w:sz="4" w:space="0" w:color="auto"/>
            </w:tcBorders>
          </w:tcPr>
          <w:p w14:paraId="31F0C4C0" w14:textId="31F8D023" w:rsidR="00E27480" w:rsidRPr="00BD1C2C" w:rsidRDefault="001455D0" w:rsidP="0013066A">
            <w:pPr>
              <w:rPr>
                <w:bCs/>
                <w:sz w:val="20"/>
                <w:szCs w:val="20"/>
                <w:lang w:val="en-GB"/>
              </w:rPr>
            </w:pPr>
            <w:r w:rsidRPr="00BD1C2C">
              <w:rPr>
                <w:bCs/>
                <w:sz w:val="20"/>
                <w:szCs w:val="20"/>
                <w:lang w:val="en-GB"/>
              </w:rPr>
              <w:t>143.9 (±19.8)</w:t>
            </w:r>
          </w:p>
        </w:tc>
      </w:tr>
      <w:tr w:rsidR="00E27480" w:rsidRPr="00BD1C2C" w14:paraId="6EE1CE3F"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429D2098" w14:textId="4E143172" w:rsidR="00E27480" w:rsidRPr="00BD1C2C" w:rsidRDefault="00E27480" w:rsidP="0013066A">
            <w:pPr>
              <w:rPr>
                <w:bCs/>
                <w:sz w:val="20"/>
                <w:szCs w:val="20"/>
                <w:lang w:val="en-GB"/>
              </w:rPr>
            </w:pPr>
            <w:r w:rsidRPr="00BD1C2C">
              <w:rPr>
                <w:bCs/>
                <w:sz w:val="20"/>
                <w:szCs w:val="20"/>
                <w:lang w:val="en-GB"/>
              </w:rPr>
              <w:t xml:space="preserve">History of diabetes </w:t>
            </w:r>
            <w:r w:rsidR="006B370D" w:rsidRPr="00BD1C2C">
              <w:rPr>
                <w:bCs/>
                <w:sz w:val="20"/>
                <w:szCs w:val="20"/>
                <w:lang w:val="en-GB"/>
              </w:rPr>
              <w:t>(n, %)</w:t>
            </w:r>
          </w:p>
        </w:tc>
        <w:tc>
          <w:tcPr>
            <w:tcW w:w="1559" w:type="dxa"/>
            <w:tcBorders>
              <w:left w:val="single" w:sz="4" w:space="0" w:color="auto"/>
              <w:right w:val="single" w:sz="4" w:space="0" w:color="auto"/>
            </w:tcBorders>
          </w:tcPr>
          <w:p w14:paraId="56025DFD" w14:textId="4086EC7E" w:rsidR="00E27480" w:rsidRPr="00BD1C2C" w:rsidRDefault="001455D0" w:rsidP="0013066A">
            <w:pPr>
              <w:rPr>
                <w:bCs/>
                <w:sz w:val="20"/>
                <w:szCs w:val="20"/>
                <w:lang w:val="en-GB"/>
              </w:rPr>
            </w:pPr>
            <w:r w:rsidRPr="00BD1C2C">
              <w:rPr>
                <w:bCs/>
                <w:sz w:val="20"/>
                <w:szCs w:val="20"/>
                <w:lang w:val="en-GB"/>
              </w:rPr>
              <w:t>370</w:t>
            </w:r>
            <w:r w:rsidR="00E27480" w:rsidRPr="00BD1C2C">
              <w:rPr>
                <w:bCs/>
                <w:sz w:val="20"/>
                <w:szCs w:val="20"/>
                <w:lang w:val="en-GB"/>
              </w:rPr>
              <w:t xml:space="preserve"> (24)</w:t>
            </w:r>
          </w:p>
        </w:tc>
        <w:tc>
          <w:tcPr>
            <w:tcW w:w="1559" w:type="dxa"/>
            <w:tcBorders>
              <w:left w:val="single" w:sz="4" w:space="0" w:color="auto"/>
              <w:right w:val="single" w:sz="4" w:space="0" w:color="auto"/>
            </w:tcBorders>
          </w:tcPr>
          <w:p w14:paraId="7672B22B" w14:textId="132B7BF6" w:rsidR="00E27480" w:rsidRPr="00BD1C2C" w:rsidRDefault="001455D0" w:rsidP="0013066A">
            <w:pPr>
              <w:rPr>
                <w:bCs/>
                <w:sz w:val="20"/>
                <w:szCs w:val="20"/>
                <w:lang w:val="en-GB"/>
              </w:rPr>
            </w:pPr>
            <w:r w:rsidRPr="00BD1C2C">
              <w:rPr>
                <w:bCs/>
                <w:sz w:val="20"/>
                <w:szCs w:val="20"/>
                <w:lang w:val="en-GB"/>
              </w:rPr>
              <w:t>134 (23)</w:t>
            </w:r>
          </w:p>
        </w:tc>
        <w:tc>
          <w:tcPr>
            <w:tcW w:w="1560" w:type="dxa"/>
            <w:tcBorders>
              <w:left w:val="single" w:sz="4" w:space="0" w:color="auto"/>
              <w:right w:val="single" w:sz="4" w:space="0" w:color="auto"/>
            </w:tcBorders>
          </w:tcPr>
          <w:p w14:paraId="292A0C51" w14:textId="063F4C36" w:rsidR="00E27480" w:rsidRPr="00BD1C2C" w:rsidRDefault="001455D0" w:rsidP="0013066A">
            <w:pPr>
              <w:rPr>
                <w:bCs/>
                <w:sz w:val="20"/>
                <w:szCs w:val="20"/>
                <w:lang w:val="en-GB"/>
              </w:rPr>
            </w:pPr>
            <w:r w:rsidRPr="00BD1C2C">
              <w:rPr>
                <w:bCs/>
                <w:sz w:val="20"/>
                <w:szCs w:val="20"/>
                <w:lang w:val="en-GB"/>
              </w:rPr>
              <w:t>236 (25)</w:t>
            </w:r>
          </w:p>
        </w:tc>
      </w:tr>
      <w:tr w:rsidR="00E27480" w:rsidRPr="00BD1C2C" w14:paraId="77ED9D92"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67B24AC2" w14:textId="493B4522" w:rsidR="00E27480" w:rsidRPr="00BD1C2C" w:rsidRDefault="00E27480" w:rsidP="0013066A">
            <w:pPr>
              <w:rPr>
                <w:bCs/>
                <w:sz w:val="20"/>
                <w:szCs w:val="20"/>
                <w:lang w:val="en-GB"/>
              </w:rPr>
            </w:pPr>
            <w:r w:rsidRPr="00BD1C2C">
              <w:rPr>
                <w:bCs/>
                <w:sz w:val="20"/>
                <w:szCs w:val="20"/>
                <w:lang w:val="en-GB"/>
              </w:rPr>
              <w:t>History of hypercholesterolaemia</w:t>
            </w:r>
            <w:r w:rsidR="006B370D" w:rsidRPr="00BD1C2C">
              <w:rPr>
                <w:bCs/>
                <w:sz w:val="20"/>
                <w:szCs w:val="20"/>
                <w:lang w:val="en-GB"/>
              </w:rPr>
              <w:t xml:space="preserve"> (n, %)</w:t>
            </w:r>
            <w:r w:rsidRPr="00BD1C2C">
              <w:rPr>
                <w:bCs/>
                <w:sz w:val="20"/>
                <w:szCs w:val="20"/>
                <w:lang w:val="en-GB"/>
              </w:rPr>
              <w:t xml:space="preserve">* </w:t>
            </w:r>
          </w:p>
        </w:tc>
        <w:tc>
          <w:tcPr>
            <w:tcW w:w="1559" w:type="dxa"/>
            <w:tcBorders>
              <w:left w:val="single" w:sz="4" w:space="0" w:color="auto"/>
              <w:right w:val="single" w:sz="4" w:space="0" w:color="auto"/>
            </w:tcBorders>
          </w:tcPr>
          <w:p w14:paraId="32D927D7" w14:textId="3E81EC47" w:rsidR="00E27480" w:rsidRPr="00BD1C2C" w:rsidRDefault="001455D0" w:rsidP="0013066A">
            <w:pPr>
              <w:rPr>
                <w:bCs/>
                <w:sz w:val="20"/>
                <w:szCs w:val="20"/>
                <w:lang w:val="en-GB"/>
              </w:rPr>
            </w:pPr>
            <w:r w:rsidRPr="00BD1C2C">
              <w:rPr>
                <w:bCs/>
                <w:sz w:val="20"/>
                <w:szCs w:val="20"/>
                <w:lang w:val="en-GB"/>
              </w:rPr>
              <w:t>592</w:t>
            </w:r>
            <w:r w:rsidR="00E27480" w:rsidRPr="00BD1C2C">
              <w:rPr>
                <w:bCs/>
                <w:sz w:val="20"/>
                <w:szCs w:val="20"/>
                <w:lang w:val="en-GB"/>
              </w:rPr>
              <w:t xml:space="preserve"> (61)</w:t>
            </w:r>
          </w:p>
        </w:tc>
        <w:tc>
          <w:tcPr>
            <w:tcW w:w="1559" w:type="dxa"/>
            <w:tcBorders>
              <w:left w:val="single" w:sz="4" w:space="0" w:color="auto"/>
              <w:right w:val="single" w:sz="4" w:space="0" w:color="auto"/>
            </w:tcBorders>
          </w:tcPr>
          <w:p w14:paraId="40CD4A1C" w14:textId="7F85CF88" w:rsidR="00E27480" w:rsidRPr="00BD1C2C" w:rsidRDefault="001455D0" w:rsidP="0013066A">
            <w:pPr>
              <w:rPr>
                <w:bCs/>
                <w:sz w:val="20"/>
                <w:szCs w:val="20"/>
                <w:lang w:val="en-GB"/>
              </w:rPr>
            </w:pPr>
            <w:r w:rsidRPr="00BD1C2C">
              <w:rPr>
                <w:bCs/>
                <w:sz w:val="20"/>
                <w:szCs w:val="20"/>
                <w:lang w:val="en-GB"/>
              </w:rPr>
              <w:t>275 (60)</w:t>
            </w:r>
          </w:p>
        </w:tc>
        <w:tc>
          <w:tcPr>
            <w:tcW w:w="1560" w:type="dxa"/>
            <w:tcBorders>
              <w:left w:val="single" w:sz="4" w:space="0" w:color="auto"/>
              <w:right w:val="single" w:sz="4" w:space="0" w:color="auto"/>
            </w:tcBorders>
          </w:tcPr>
          <w:p w14:paraId="1EA0F4E8" w14:textId="195225EE" w:rsidR="00E27480" w:rsidRPr="00BD1C2C" w:rsidRDefault="001455D0" w:rsidP="0013066A">
            <w:pPr>
              <w:rPr>
                <w:bCs/>
                <w:sz w:val="20"/>
                <w:szCs w:val="20"/>
                <w:lang w:val="en-GB"/>
              </w:rPr>
            </w:pPr>
            <w:r w:rsidRPr="00BD1C2C">
              <w:rPr>
                <w:bCs/>
                <w:sz w:val="20"/>
                <w:szCs w:val="20"/>
                <w:lang w:val="en-GB"/>
              </w:rPr>
              <w:t>317 (63)</w:t>
            </w:r>
          </w:p>
        </w:tc>
      </w:tr>
      <w:tr w:rsidR="00E27480" w:rsidRPr="00BD1C2C" w14:paraId="4DD457A9"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71C2F0FB" w14:textId="77B9D0B5" w:rsidR="00E27480" w:rsidRPr="00BD1C2C" w:rsidRDefault="00E27480" w:rsidP="0013066A">
            <w:pPr>
              <w:rPr>
                <w:bCs/>
                <w:sz w:val="20"/>
                <w:szCs w:val="20"/>
                <w:lang w:val="en-GB"/>
              </w:rPr>
            </w:pPr>
            <w:r w:rsidRPr="00BD1C2C">
              <w:rPr>
                <w:bCs/>
                <w:sz w:val="20"/>
                <w:szCs w:val="20"/>
                <w:lang w:val="en-GB"/>
              </w:rPr>
              <w:t xml:space="preserve">History of smoking </w:t>
            </w:r>
            <w:r w:rsidR="006B370D" w:rsidRPr="00BD1C2C">
              <w:rPr>
                <w:bCs/>
                <w:sz w:val="20"/>
                <w:szCs w:val="20"/>
                <w:lang w:val="en-GB"/>
              </w:rPr>
              <w:t>(n, %)</w:t>
            </w:r>
          </w:p>
        </w:tc>
        <w:tc>
          <w:tcPr>
            <w:tcW w:w="1559" w:type="dxa"/>
            <w:tcBorders>
              <w:left w:val="single" w:sz="4" w:space="0" w:color="auto"/>
              <w:right w:val="single" w:sz="4" w:space="0" w:color="auto"/>
            </w:tcBorders>
          </w:tcPr>
          <w:p w14:paraId="01278FB0" w14:textId="0A86E072" w:rsidR="00E27480" w:rsidRPr="00BD1C2C" w:rsidRDefault="001455D0" w:rsidP="0013066A">
            <w:pPr>
              <w:rPr>
                <w:bCs/>
                <w:sz w:val="20"/>
                <w:szCs w:val="20"/>
                <w:lang w:val="en-GB"/>
              </w:rPr>
            </w:pPr>
            <w:r w:rsidRPr="00BD1C2C">
              <w:rPr>
                <w:bCs/>
                <w:sz w:val="20"/>
                <w:szCs w:val="20"/>
                <w:lang w:val="en-GB"/>
              </w:rPr>
              <w:t>988</w:t>
            </w:r>
            <w:r w:rsidR="00E27480" w:rsidRPr="00BD1C2C">
              <w:rPr>
                <w:bCs/>
                <w:sz w:val="20"/>
                <w:szCs w:val="20"/>
                <w:lang w:val="en-GB"/>
              </w:rPr>
              <w:t xml:space="preserve"> (64)</w:t>
            </w:r>
          </w:p>
        </w:tc>
        <w:tc>
          <w:tcPr>
            <w:tcW w:w="1559" w:type="dxa"/>
            <w:tcBorders>
              <w:left w:val="single" w:sz="4" w:space="0" w:color="auto"/>
              <w:right w:val="single" w:sz="4" w:space="0" w:color="auto"/>
            </w:tcBorders>
          </w:tcPr>
          <w:p w14:paraId="0C2BAE3A" w14:textId="07C7AAF7" w:rsidR="00E27480" w:rsidRPr="00BD1C2C" w:rsidRDefault="00BD5335" w:rsidP="0013066A">
            <w:pPr>
              <w:rPr>
                <w:bCs/>
                <w:sz w:val="20"/>
                <w:szCs w:val="20"/>
                <w:lang w:val="en-GB"/>
              </w:rPr>
            </w:pPr>
            <w:r w:rsidRPr="00BD1C2C">
              <w:rPr>
                <w:bCs/>
                <w:sz w:val="20"/>
                <w:szCs w:val="20"/>
                <w:lang w:val="en-GB"/>
              </w:rPr>
              <w:t>372 (63)</w:t>
            </w:r>
          </w:p>
        </w:tc>
        <w:tc>
          <w:tcPr>
            <w:tcW w:w="1560" w:type="dxa"/>
            <w:tcBorders>
              <w:left w:val="single" w:sz="4" w:space="0" w:color="auto"/>
              <w:right w:val="single" w:sz="4" w:space="0" w:color="auto"/>
            </w:tcBorders>
          </w:tcPr>
          <w:p w14:paraId="02C799A7" w14:textId="62739929" w:rsidR="00E27480" w:rsidRPr="00BD1C2C" w:rsidRDefault="00BD5335" w:rsidP="0013066A">
            <w:pPr>
              <w:rPr>
                <w:bCs/>
                <w:sz w:val="20"/>
                <w:szCs w:val="20"/>
                <w:lang w:val="en-GB"/>
              </w:rPr>
            </w:pPr>
            <w:r w:rsidRPr="00BD1C2C">
              <w:rPr>
                <w:bCs/>
                <w:sz w:val="20"/>
                <w:szCs w:val="20"/>
                <w:lang w:val="en-GB"/>
              </w:rPr>
              <w:t>616 (65)</w:t>
            </w:r>
          </w:p>
        </w:tc>
      </w:tr>
      <w:tr w:rsidR="00E27480" w:rsidRPr="00BD1C2C" w14:paraId="44D9058E"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6633BAD2" w14:textId="01D8181A" w:rsidR="00E27480" w:rsidRPr="00BD1C2C" w:rsidRDefault="00E27480" w:rsidP="0013066A">
            <w:pPr>
              <w:rPr>
                <w:bCs/>
                <w:sz w:val="20"/>
                <w:szCs w:val="20"/>
                <w:lang w:val="en-GB"/>
              </w:rPr>
            </w:pPr>
            <w:r w:rsidRPr="00BD1C2C">
              <w:rPr>
                <w:bCs/>
                <w:sz w:val="20"/>
                <w:szCs w:val="20"/>
                <w:lang w:val="en-GB"/>
              </w:rPr>
              <w:t xml:space="preserve">History or coronary heart disease </w:t>
            </w:r>
            <w:r w:rsidR="006B370D" w:rsidRPr="00BD1C2C">
              <w:rPr>
                <w:bCs/>
                <w:sz w:val="20"/>
                <w:szCs w:val="20"/>
                <w:lang w:val="en-GB"/>
              </w:rPr>
              <w:t>(n, %)</w:t>
            </w:r>
          </w:p>
        </w:tc>
        <w:tc>
          <w:tcPr>
            <w:tcW w:w="1559" w:type="dxa"/>
            <w:tcBorders>
              <w:left w:val="single" w:sz="4" w:space="0" w:color="auto"/>
              <w:right w:val="single" w:sz="4" w:space="0" w:color="auto"/>
            </w:tcBorders>
          </w:tcPr>
          <w:p w14:paraId="1105563B" w14:textId="733ACF1F" w:rsidR="00E27480" w:rsidRPr="00BD1C2C" w:rsidRDefault="00BD5335" w:rsidP="0013066A">
            <w:pPr>
              <w:rPr>
                <w:bCs/>
                <w:sz w:val="20"/>
                <w:szCs w:val="20"/>
                <w:lang w:val="en-GB"/>
              </w:rPr>
            </w:pPr>
            <w:r w:rsidRPr="00BD1C2C">
              <w:rPr>
                <w:bCs/>
                <w:sz w:val="20"/>
                <w:szCs w:val="20"/>
                <w:lang w:val="en-GB"/>
              </w:rPr>
              <w:t>358</w:t>
            </w:r>
            <w:r w:rsidR="00E27480" w:rsidRPr="00BD1C2C">
              <w:rPr>
                <w:bCs/>
                <w:sz w:val="20"/>
                <w:szCs w:val="20"/>
                <w:lang w:val="en-GB"/>
              </w:rPr>
              <w:t xml:space="preserve"> (23)</w:t>
            </w:r>
          </w:p>
        </w:tc>
        <w:tc>
          <w:tcPr>
            <w:tcW w:w="1559" w:type="dxa"/>
            <w:tcBorders>
              <w:left w:val="single" w:sz="4" w:space="0" w:color="auto"/>
              <w:right w:val="single" w:sz="4" w:space="0" w:color="auto"/>
            </w:tcBorders>
          </w:tcPr>
          <w:p w14:paraId="5E9920F9" w14:textId="3228C55C" w:rsidR="00E27480" w:rsidRPr="00BD1C2C" w:rsidRDefault="00BD5335" w:rsidP="0013066A">
            <w:pPr>
              <w:rPr>
                <w:bCs/>
                <w:sz w:val="20"/>
                <w:szCs w:val="20"/>
                <w:lang w:val="en-GB"/>
              </w:rPr>
            </w:pPr>
            <w:r w:rsidRPr="00BD1C2C">
              <w:rPr>
                <w:bCs/>
                <w:sz w:val="20"/>
                <w:szCs w:val="20"/>
                <w:lang w:val="en-GB"/>
              </w:rPr>
              <w:t>146 (25)</w:t>
            </w:r>
          </w:p>
        </w:tc>
        <w:tc>
          <w:tcPr>
            <w:tcW w:w="1560" w:type="dxa"/>
            <w:tcBorders>
              <w:left w:val="single" w:sz="4" w:space="0" w:color="auto"/>
              <w:right w:val="single" w:sz="4" w:space="0" w:color="auto"/>
            </w:tcBorders>
          </w:tcPr>
          <w:p w14:paraId="3392D41D" w14:textId="61281FE1" w:rsidR="00E27480" w:rsidRPr="00BD1C2C" w:rsidRDefault="00BD5335" w:rsidP="0013066A">
            <w:pPr>
              <w:rPr>
                <w:bCs/>
                <w:sz w:val="20"/>
                <w:szCs w:val="20"/>
                <w:lang w:val="en-GB"/>
              </w:rPr>
            </w:pPr>
            <w:r w:rsidRPr="00BD1C2C">
              <w:rPr>
                <w:bCs/>
                <w:sz w:val="20"/>
                <w:szCs w:val="20"/>
                <w:lang w:val="en-GB"/>
              </w:rPr>
              <w:t>212 (22)</w:t>
            </w:r>
          </w:p>
        </w:tc>
      </w:tr>
      <w:tr w:rsidR="00E27480" w:rsidRPr="00BD1C2C" w14:paraId="379F9C4D"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54B6F07A" w14:textId="4816A2D8" w:rsidR="00E27480" w:rsidRPr="00BD1C2C" w:rsidRDefault="00E27480" w:rsidP="0013066A">
            <w:pPr>
              <w:rPr>
                <w:bCs/>
                <w:sz w:val="20"/>
                <w:szCs w:val="20"/>
                <w:lang w:val="en-GB"/>
              </w:rPr>
            </w:pPr>
            <w:r w:rsidRPr="00BD1C2C">
              <w:rPr>
                <w:bCs/>
                <w:sz w:val="20"/>
                <w:szCs w:val="20"/>
                <w:lang w:val="en-GB"/>
              </w:rPr>
              <w:t>History of peripheral artery disease</w:t>
            </w:r>
            <w:r w:rsidR="006B370D" w:rsidRPr="00BD1C2C">
              <w:rPr>
                <w:bCs/>
                <w:sz w:val="20"/>
                <w:szCs w:val="20"/>
                <w:lang w:val="en-GB"/>
              </w:rPr>
              <w:t xml:space="preserve"> (n, %)</w:t>
            </w:r>
            <w:r w:rsidRPr="00BD1C2C">
              <w:rPr>
                <w:bCs/>
                <w:sz w:val="20"/>
                <w:szCs w:val="20"/>
                <w:lang w:val="en-GB"/>
              </w:rPr>
              <w:t xml:space="preserve">* </w:t>
            </w:r>
          </w:p>
        </w:tc>
        <w:tc>
          <w:tcPr>
            <w:tcW w:w="1559" w:type="dxa"/>
            <w:tcBorders>
              <w:left w:val="single" w:sz="4" w:space="0" w:color="auto"/>
              <w:right w:val="single" w:sz="4" w:space="0" w:color="auto"/>
            </w:tcBorders>
          </w:tcPr>
          <w:p w14:paraId="1BD16875" w14:textId="5A05E16C" w:rsidR="00E27480" w:rsidRPr="00BD1C2C" w:rsidRDefault="00BD5335" w:rsidP="0013066A">
            <w:pPr>
              <w:rPr>
                <w:bCs/>
                <w:sz w:val="20"/>
                <w:szCs w:val="20"/>
                <w:lang w:val="en-GB"/>
              </w:rPr>
            </w:pPr>
            <w:r w:rsidRPr="00BD1C2C">
              <w:rPr>
                <w:bCs/>
                <w:sz w:val="20"/>
                <w:szCs w:val="20"/>
                <w:lang w:val="en-GB"/>
              </w:rPr>
              <w:t>158 (16</w:t>
            </w:r>
            <w:r w:rsidR="00E27480" w:rsidRPr="00BD1C2C">
              <w:rPr>
                <w:bCs/>
                <w:sz w:val="20"/>
                <w:szCs w:val="20"/>
                <w:lang w:val="en-GB"/>
              </w:rPr>
              <w:t>)</w:t>
            </w:r>
          </w:p>
        </w:tc>
        <w:tc>
          <w:tcPr>
            <w:tcW w:w="1559" w:type="dxa"/>
            <w:tcBorders>
              <w:left w:val="single" w:sz="4" w:space="0" w:color="auto"/>
              <w:right w:val="single" w:sz="4" w:space="0" w:color="auto"/>
            </w:tcBorders>
          </w:tcPr>
          <w:p w14:paraId="26DD6331" w14:textId="2EA5C9F9" w:rsidR="00E27480" w:rsidRPr="00BD1C2C" w:rsidRDefault="00BD5335" w:rsidP="0013066A">
            <w:pPr>
              <w:rPr>
                <w:bCs/>
                <w:sz w:val="20"/>
                <w:szCs w:val="20"/>
                <w:lang w:val="en-GB"/>
              </w:rPr>
            </w:pPr>
            <w:r w:rsidRPr="00BD1C2C">
              <w:rPr>
                <w:bCs/>
                <w:sz w:val="20"/>
                <w:szCs w:val="20"/>
                <w:lang w:val="en-GB"/>
              </w:rPr>
              <w:t>74 (16)</w:t>
            </w:r>
          </w:p>
        </w:tc>
        <w:tc>
          <w:tcPr>
            <w:tcW w:w="1560" w:type="dxa"/>
            <w:tcBorders>
              <w:left w:val="single" w:sz="4" w:space="0" w:color="auto"/>
              <w:right w:val="single" w:sz="4" w:space="0" w:color="auto"/>
            </w:tcBorders>
          </w:tcPr>
          <w:p w14:paraId="163315E9" w14:textId="294211DA" w:rsidR="00E27480" w:rsidRPr="00BD1C2C" w:rsidRDefault="00BD5335" w:rsidP="0013066A">
            <w:pPr>
              <w:rPr>
                <w:bCs/>
                <w:sz w:val="20"/>
                <w:szCs w:val="20"/>
                <w:lang w:val="en-GB"/>
              </w:rPr>
            </w:pPr>
            <w:r w:rsidRPr="00BD1C2C">
              <w:rPr>
                <w:bCs/>
                <w:sz w:val="20"/>
                <w:szCs w:val="20"/>
                <w:lang w:val="en-GB"/>
              </w:rPr>
              <w:t>84 (17)</w:t>
            </w:r>
          </w:p>
        </w:tc>
      </w:tr>
      <w:tr w:rsidR="00E27480" w:rsidRPr="00BD1C2C" w14:paraId="3D75A459"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013BFA76" w14:textId="27721322" w:rsidR="00E27480" w:rsidRPr="00BD1C2C" w:rsidRDefault="00E27480" w:rsidP="0013066A">
            <w:pPr>
              <w:rPr>
                <w:bCs/>
                <w:sz w:val="20"/>
                <w:szCs w:val="20"/>
                <w:lang w:val="en-GB"/>
              </w:rPr>
            </w:pPr>
            <w:r w:rsidRPr="00BD1C2C">
              <w:rPr>
                <w:bCs/>
                <w:sz w:val="20"/>
                <w:szCs w:val="20"/>
                <w:lang w:val="en-GB"/>
              </w:rPr>
              <w:t xml:space="preserve">Stenosis on the left side </w:t>
            </w:r>
            <w:r w:rsidR="006B370D" w:rsidRPr="00BD1C2C">
              <w:rPr>
                <w:bCs/>
                <w:sz w:val="20"/>
                <w:szCs w:val="20"/>
                <w:lang w:val="en-GB"/>
              </w:rPr>
              <w:t>(n, %)</w:t>
            </w:r>
          </w:p>
        </w:tc>
        <w:tc>
          <w:tcPr>
            <w:tcW w:w="1559" w:type="dxa"/>
            <w:tcBorders>
              <w:left w:val="single" w:sz="4" w:space="0" w:color="auto"/>
              <w:right w:val="single" w:sz="4" w:space="0" w:color="auto"/>
            </w:tcBorders>
          </w:tcPr>
          <w:p w14:paraId="7D9529A9" w14:textId="7708D821" w:rsidR="00E27480" w:rsidRPr="00BD1C2C" w:rsidRDefault="00BD5335" w:rsidP="0013066A">
            <w:pPr>
              <w:rPr>
                <w:bCs/>
                <w:sz w:val="20"/>
                <w:szCs w:val="20"/>
                <w:lang w:val="en-GB"/>
              </w:rPr>
            </w:pPr>
            <w:r w:rsidRPr="00BD1C2C">
              <w:rPr>
                <w:bCs/>
                <w:sz w:val="20"/>
                <w:szCs w:val="20"/>
                <w:lang w:val="en-GB"/>
              </w:rPr>
              <w:t>815</w:t>
            </w:r>
            <w:r w:rsidR="00E27480" w:rsidRPr="00BD1C2C">
              <w:rPr>
                <w:bCs/>
                <w:sz w:val="20"/>
                <w:szCs w:val="20"/>
                <w:lang w:val="en-GB"/>
              </w:rPr>
              <w:t xml:space="preserve"> (53)</w:t>
            </w:r>
          </w:p>
        </w:tc>
        <w:tc>
          <w:tcPr>
            <w:tcW w:w="1559" w:type="dxa"/>
            <w:tcBorders>
              <w:left w:val="single" w:sz="4" w:space="0" w:color="auto"/>
              <w:right w:val="single" w:sz="4" w:space="0" w:color="auto"/>
            </w:tcBorders>
          </w:tcPr>
          <w:p w14:paraId="4D0A5916" w14:textId="29586A0B" w:rsidR="00E27480" w:rsidRPr="00BD1C2C" w:rsidRDefault="00BD5335" w:rsidP="0013066A">
            <w:pPr>
              <w:rPr>
                <w:bCs/>
                <w:sz w:val="20"/>
                <w:szCs w:val="20"/>
                <w:lang w:val="en-GB"/>
              </w:rPr>
            </w:pPr>
            <w:r w:rsidRPr="00BD1C2C">
              <w:rPr>
                <w:bCs/>
                <w:sz w:val="20"/>
                <w:szCs w:val="20"/>
                <w:lang w:val="en-GB"/>
              </w:rPr>
              <w:t>325 (55)</w:t>
            </w:r>
          </w:p>
        </w:tc>
        <w:tc>
          <w:tcPr>
            <w:tcW w:w="1560" w:type="dxa"/>
            <w:tcBorders>
              <w:left w:val="single" w:sz="4" w:space="0" w:color="auto"/>
              <w:right w:val="single" w:sz="4" w:space="0" w:color="auto"/>
            </w:tcBorders>
          </w:tcPr>
          <w:p w14:paraId="21087969" w14:textId="3FE8EBCE" w:rsidR="00E27480" w:rsidRPr="00BD1C2C" w:rsidRDefault="00BD5335" w:rsidP="0013066A">
            <w:pPr>
              <w:rPr>
                <w:bCs/>
                <w:sz w:val="20"/>
                <w:szCs w:val="20"/>
                <w:lang w:val="en-GB"/>
              </w:rPr>
            </w:pPr>
            <w:r w:rsidRPr="00BD1C2C">
              <w:rPr>
                <w:bCs/>
                <w:sz w:val="20"/>
                <w:szCs w:val="20"/>
                <w:lang w:val="en-GB"/>
              </w:rPr>
              <w:t>490 (51)</w:t>
            </w:r>
          </w:p>
        </w:tc>
      </w:tr>
      <w:tr w:rsidR="00E27480" w:rsidRPr="00BD1C2C" w14:paraId="69768F64"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652ECC69" w14:textId="77777777" w:rsidR="00E27480" w:rsidRPr="00BD1C2C" w:rsidRDefault="00E27480" w:rsidP="0013066A">
            <w:pPr>
              <w:rPr>
                <w:bCs/>
                <w:sz w:val="20"/>
                <w:szCs w:val="20"/>
                <w:lang w:val="en-GB"/>
              </w:rPr>
            </w:pPr>
            <w:r w:rsidRPr="00BD1C2C">
              <w:rPr>
                <w:bCs/>
                <w:sz w:val="20"/>
                <w:szCs w:val="20"/>
                <w:lang w:val="en-GB"/>
              </w:rPr>
              <w:t xml:space="preserve">Ipsilateral degree of stenosis </w:t>
            </w:r>
          </w:p>
        </w:tc>
        <w:tc>
          <w:tcPr>
            <w:tcW w:w="1559" w:type="dxa"/>
            <w:tcBorders>
              <w:left w:val="single" w:sz="4" w:space="0" w:color="auto"/>
              <w:right w:val="single" w:sz="4" w:space="0" w:color="auto"/>
            </w:tcBorders>
          </w:tcPr>
          <w:p w14:paraId="764BB3C7" w14:textId="77777777" w:rsidR="00E27480" w:rsidRPr="00BD1C2C" w:rsidRDefault="00E27480" w:rsidP="0013066A">
            <w:pPr>
              <w:rPr>
                <w:bCs/>
                <w:sz w:val="20"/>
                <w:szCs w:val="20"/>
                <w:lang w:val="en-GB"/>
              </w:rPr>
            </w:pPr>
          </w:p>
        </w:tc>
        <w:tc>
          <w:tcPr>
            <w:tcW w:w="1559" w:type="dxa"/>
            <w:tcBorders>
              <w:left w:val="single" w:sz="4" w:space="0" w:color="auto"/>
              <w:right w:val="single" w:sz="4" w:space="0" w:color="auto"/>
            </w:tcBorders>
          </w:tcPr>
          <w:p w14:paraId="6CC5C35C" w14:textId="5E6C281C" w:rsidR="00E27480" w:rsidRPr="00BD1C2C" w:rsidRDefault="00E27480" w:rsidP="0013066A">
            <w:pPr>
              <w:rPr>
                <w:bCs/>
                <w:sz w:val="20"/>
                <w:szCs w:val="20"/>
                <w:lang w:val="en-GB"/>
              </w:rPr>
            </w:pPr>
          </w:p>
        </w:tc>
        <w:tc>
          <w:tcPr>
            <w:tcW w:w="1560" w:type="dxa"/>
            <w:tcBorders>
              <w:left w:val="single" w:sz="4" w:space="0" w:color="auto"/>
              <w:right w:val="single" w:sz="4" w:space="0" w:color="auto"/>
            </w:tcBorders>
          </w:tcPr>
          <w:p w14:paraId="79E48366" w14:textId="77777777" w:rsidR="00E27480" w:rsidRPr="00BD1C2C" w:rsidRDefault="00E27480" w:rsidP="0013066A">
            <w:pPr>
              <w:rPr>
                <w:bCs/>
                <w:sz w:val="20"/>
                <w:szCs w:val="20"/>
                <w:lang w:val="en-GB"/>
              </w:rPr>
            </w:pPr>
          </w:p>
        </w:tc>
      </w:tr>
      <w:tr w:rsidR="00E27480" w:rsidRPr="00BD1C2C" w14:paraId="7F90A172"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0467E6C5" w14:textId="76E0CCB2" w:rsidR="00E27480" w:rsidRPr="00BD1C2C" w:rsidRDefault="00E27480" w:rsidP="0013066A">
            <w:pPr>
              <w:rPr>
                <w:bCs/>
                <w:sz w:val="20"/>
                <w:szCs w:val="20"/>
                <w:lang w:val="en-GB"/>
              </w:rPr>
            </w:pPr>
            <w:r w:rsidRPr="00BD1C2C">
              <w:rPr>
                <w:bCs/>
                <w:sz w:val="20"/>
                <w:szCs w:val="20"/>
                <w:lang w:val="en-GB"/>
              </w:rPr>
              <w:t>Moderate (50-69%)</w:t>
            </w:r>
            <w:r w:rsidR="006B370D" w:rsidRPr="00BD1C2C">
              <w:rPr>
                <w:bCs/>
                <w:sz w:val="20"/>
                <w:szCs w:val="20"/>
                <w:lang w:val="en-GB"/>
              </w:rPr>
              <w:t xml:space="preserve"> (n, %)</w:t>
            </w:r>
          </w:p>
        </w:tc>
        <w:tc>
          <w:tcPr>
            <w:tcW w:w="1559" w:type="dxa"/>
            <w:tcBorders>
              <w:left w:val="single" w:sz="4" w:space="0" w:color="auto"/>
              <w:right w:val="single" w:sz="4" w:space="0" w:color="auto"/>
            </w:tcBorders>
          </w:tcPr>
          <w:p w14:paraId="254E5BDF" w14:textId="60E7592A" w:rsidR="00E27480" w:rsidRPr="00BD1C2C" w:rsidRDefault="00BD5335" w:rsidP="0013066A">
            <w:pPr>
              <w:rPr>
                <w:bCs/>
                <w:sz w:val="20"/>
                <w:szCs w:val="20"/>
                <w:lang w:val="en-GB"/>
              </w:rPr>
            </w:pPr>
            <w:r w:rsidRPr="00BD1C2C">
              <w:rPr>
                <w:bCs/>
                <w:sz w:val="20"/>
                <w:szCs w:val="20"/>
                <w:lang w:val="en-GB"/>
              </w:rPr>
              <w:t>305</w:t>
            </w:r>
            <w:r w:rsidR="00E27480" w:rsidRPr="00BD1C2C">
              <w:rPr>
                <w:bCs/>
                <w:sz w:val="20"/>
                <w:szCs w:val="20"/>
                <w:lang w:val="en-GB"/>
              </w:rPr>
              <w:t xml:space="preserve"> (20)</w:t>
            </w:r>
          </w:p>
        </w:tc>
        <w:tc>
          <w:tcPr>
            <w:tcW w:w="1559" w:type="dxa"/>
            <w:tcBorders>
              <w:left w:val="single" w:sz="4" w:space="0" w:color="auto"/>
              <w:right w:val="single" w:sz="4" w:space="0" w:color="auto"/>
            </w:tcBorders>
          </w:tcPr>
          <w:p w14:paraId="6B891F92" w14:textId="265491ED" w:rsidR="00E27480" w:rsidRPr="00BD1C2C" w:rsidRDefault="00BD5335" w:rsidP="0013066A">
            <w:pPr>
              <w:rPr>
                <w:bCs/>
                <w:sz w:val="20"/>
                <w:szCs w:val="20"/>
                <w:lang w:val="en-GB"/>
              </w:rPr>
            </w:pPr>
            <w:r w:rsidRPr="00BD1C2C">
              <w:rPr>
                <w:bCs/>
                <w:sz w:val="20"/>
                <w:szCs w:val="20"/>
                <w:lang w:val="en-GB"/>
              </w:rPr>
              <w:t>96 (16)</w:t>
            </w:r>
          </w:p>
        </w:tc>
        <w:tc>
          <w:tcPr>
            <w:tcW w:w="1560" w:type="dxa"/>
            <w:tcBorders>
              <w:left w:val="single" w:sz="4" w:space="0" w:color="auto"/>
              <w:right w:val="single" w:sz="4" w:space="0" w:color="auto"/>
            </w:tcBorders>
          </w:tcPr>
          <w:p w14:paraId="068D218C" w14:textId="156EF9A2" w:rsidR="00E27480" w:rsidRPr="00BD1C2C" w:rsidRDefault="00BD5335" w:rsidP="0013066A">
            <w:pPr>
              <w:rPr>
                <w:bCs/>
                <w:sz w:val="20"/>
                <w:szCs w:val="20"/>
                <w:lang w:val="en-GB"/>
              </w:rPr>
            </w:pPr>
            <w:r w:rsidRPr="00BD1C2C">
              <w:rPr>
                <w:bCs/>
                <w:sz w:val="20"/>
                <w:szCs w:val="20"/>
                <w:lang w:val="en-GB"/>
              </w:rPr>
              <w:t>209 (22)</w:t>
            </w:r>
          </w:p>
        </w:tc>
      </w:tr>
      <w:tr w:rsidR="00E27480" w:rsidRPr="00BD1C2C" w14:paraId="0532E1BB"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6A8E8188" w14:textId="5C1C4B54" w:rsidR="00E27480" w:rsidRPr="00BD1C2C" w:rsidRDefault="00E27480" w:rsidP="0013066A">
            <w:pPr>
              <w:rPr>
                <w:bCs/>
                <w:sz w:val="20"/>
                <w:szCs w:val="20"/>
                <w:lang w:val="en-GB"/>
              </w:rPr>
            </w:pPr>
            <w:r w:rsidRPr="00BD1C2C">
              <w:rPr>
                <w:bCs/>
                <w:sz w:val="20"/>
                <w:szCs w:val="20"/>
                <w:lang w:val="en-GB"/>
              </w:rPr>
              <w:t>Severe (70-99%)</w:t>
            </w:r>
            <w:r w:rsidR="006B370D" w:rsidRPr="00BD1C2C">
              <w:rPr>
                <w:bCs/>
                <w:sz w:val="20"/>
                <w:szCs w:val="20"/>
                <w:lang w:val="en-GB"/>
              </w:rPr>
              <w:t xml:space="preserve"> (n, %)</w:t>
            </w:r>
          </w:p>
        </w:tc>
        <w:tc>
          <w:tcPr>
            <w:tcW w:w="1559" w:type="dxa"/>
            <w:tcBorders>
              <w:left w:val="single" w:sz="4" w:space="0" w:color="auto"/>
              <w:right w:val="single" w:sz="4" w:space="0" w:color="auto"/>
            </w:tcBorders>
          </w:tcPr>
          <w:p w14:paraId="60DA0E99" w14:textId="4BD79373" w:rsidR="00E27480" w:rsidRPr="00BD1C2C" w:rsidRDefault="00BD5335" w:rsidP="0013066A">
            <w:pPr>
              <w:rPr>
                <w:bCs/>
                <w:sz w:val="20"/>
                <w:szCs w:val="20"/>
                <w:lang w:val="en-GB"/>
              </w:rPr>
            </w:pPr>
            <w:r w:rsidRPr="00BD1C2C">
              <w:rPr>
                <w:bCs/>
                <w:sz w:val="20"/>
                <w:szCs w:val="20"/>
                <w:lang w:val="en-GB"/>
              </w:rPr>
              <w:t>1243</w:t>
            </w:r>
            <w:r w:rsidR="00E27480" w:rsidRPr="00BD1C2C">
              <w:rPr>
                <w:bCs/>
                <w:sz w:val="20"/>
                <w:szCs w:val="20"/>
                <w:lang w:val="en-GB"/>
              </w:rPr>
              <w:t xml:space="preserve"> (80)</w:t>
            </w:r>
          </w:p>
        </w:tc>
        <w:tc>
          <w:tcPr>
            <w:tcW w:w="1559" w:type="dxa"/>
            <w:tcBorders>
              <w:left w:val="single" w:sz="4" w:space="0" w:color="auto"/>
              <w:right w:val="single" w:sz="4" w:space="0" w:color="auto"/>
            </w:tcBorders>
          </w:tcPr>
          <w:p w14:paraId="18BCB8D2" w14:textId="28407679" w:rsidR="00E27480" w:rsidRPr="00BD1C2C" w:rsidRDefault="00BD5335" w:rsidP="0013066A">
            <w:pPr>
              <w:rPr>
                <w:bCs/>
                <w:sz w:val="20"/>
                <w:szCs w:val="20"/>
                <w:lang w:val="en-GB"/>
              </w:rPr>
            </w:pPr>
            <w:r w:rsidRPr="00BD1C2C">
              <w:rPr>
                <w:bCs/>
                <w:sz w:val="20"/>
                <w:szCs w:val="20"/>
                <w:lang w:val="en-GB"/>
              </w:rPr>
              <w:t>497 (84)</w:t>
            </w:r>
          </w:p>
        </w:tc>
        <w:tc>
          <w:tcPr>
            <w:tcW w:w="1560" w:type="dxa"/>
            <w:tcBorders>
              <w:left w:val="single" w:sz="4" w:space="0" w:color="auto"/>
              <w:right w:val="single" w:sz="4" w:space="0" w:color="auto"/>
            </w:tcBorders>
          </w:tcPr>
          <w:p w14:paraId="1B0B1C92" w14:textId="4C0DD5AD" w:rsidR="00E27480" w:rsidRPr="00BD1C2C" w:rsidRDefault="00BD5335" w:rsidP="0013066A">
            <w:pPr>
              <w:rPr>
                <w:bCs/>
                <w:sz w:val="20"/>
                <w:szCs w:val="20"/>
                <w:lang w:val="en-GB"/>
              </w:rPr>
            </w:pPr>
            <w:r w:rsidRPr="00BD1C2C">
              <w:rPr>
                <w:bCs/>
                <w:sz w:val="20"/>
                <w:szCs w:val="20"/>
                <w:lang w:val="en-GB"/>
              </w:rPr>
              <w:t>746 (78)</w:t>
            </w:r>
          </w:p>
        </w:tc>
      </w:tr>
      <w:tr w:rsidR="00E27480" w:rsidRPr="00BD1C2C" w14:paraId="07F6F9FB"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0C0A8459" w14:textId="20215DB6" w:rsidR="00E27480" w:rsidRPr="00BD1C2C" w:rsidRDefault="00E27480" w:rsidP="0013066A">
            <w:pPr>
              <w:rPr>
                <w:bCs/>
                <w:sz w:val="20"/>
                <w:szCs w:val="20"/>
                <w:lang w:val="en-GB"/>
              </w:rPr>
            </w:pPr>
            <w:r w:rsidRPr="00BD1C2C">
              <w:rPr>
                <w:bCs/>
                <w:sz w:val="20"/>
                <w:szCs w:val="20"/>
                <w:lang w:val="en-GB"/>
              </w:rPr>
              <w:t xml:space="preserve">Contralateral severe carotid stenosis or occlusion </w:t>
            </w:r>
            <w:r w:rsidR="00106F82" w:rsidRPr="00BD1C2C">
              <w:rPr>
                <w:bCs/>
                <w:sz w:val="20"/>
                <w:szCs w:val="20"/>
                <w:lang w:val="en-GB"/>
              </w:rPr>
              <w:t>(n, %)</w:t>
            </w:r>
          </w:p>
        </w:tc>
        <w:tc>
          <w:tcPr>
            <w:tcW w:w="1559" w:type="dxa"/>
            <w:tcBorders>
              <w:left w:val="single" w:sz="4" w:space="0" w:color="auto"/>
              <w:right w:val="single" w:sz="4" w:space="0" w:color="auto"/>
            </w:tcBorders>
          </w:tcPr>
          <w:p w14:paraId="45642E07" w14:textId="0258A170" w:rsidR="00E27480" w:rsidRPr="00BD1C2C" w:rsidRDefault="00BD5335" w:rsidP="0013066A">
            <w:pPr>
              <w:rPr>
                <w:bCs/>
                <w:sz w:val="20"/>
                <w:szCs w:val="20"/>
                <w:lang w:val="en-GB"/>
              </w:rPr>
            </w:pPr>
            <w:r w:rsidRPr="00BD1C2C">
              <w:rPr>
                <w:bCs/>
                <w:sz w:val="20"/>
                <w:szCs w:val="20"/>
                <w:lang w:val="en-GB"/>
              </w:rPr>
              <w:t>213</w:t>
            </w:r>
            <w:r w:rsidR="00E27480" w:rsidRPr="00BD1C2C">
              <w:rPr>
                <w:bCs/>
                <w:sz w:val="20"/>
                <w:szCs w:val="20"/>
                <w:lang w:val="en-GB"/>
              </w:rPr>
              <w:t xml:space="preserve"> (15)</w:t>
            </w:r>
          </w:p>
        </w:tc>
        <w:tc>
          <w:tcPr>
            <w:tcW w:w="1559" w:type="dxa"/>
            <w:tcBorders>
              <w:left w:val="single" w:sz="4" w:space="0" w:color="auto"/>
              <w:right w:val="single" w:sz="4" w:space="0" w:color="auto"/>
            </w:tcBorders>
          </w:tcPr>
          <w:p w14:paraId="05810C0A" w14:textId="1D35ECF4" w:rsidR="00E27480" w:rsidRPr="00BD1C2C" w:rsidRDefault="00BD5335" w:rsidP="0013066A">
            <w:pPr>
              <w:rPr>
                <w:bCs/>
                <w:sz w:val="20"/>
                <w:szCs w:val="20"/>
                <w:lang w:val="en-GB"/>
              </w:rPr>
            </w:pPr>
            <w:r w:rsidRPr="00BD1C2C">
              <w:rPr>
                <w:bCs/>
                <w:sz w:val="20"/>
                <w:szCs w:val="20"/>
                <w:lang w:val="en-GB"/>
              </w:rPr>
              <w:t>94 (17)</w:t>
            </w:r>
          </w:p>
        </w:tc>
        <w:tc>
          <w:tcPr>
            <w:tcW w:w="1560" w:type="dxa"/>
            <w:tcBorders>
              <w:left w:val="single" w:sz="4" w:space="0" w:color="auto"/>
              <w:right w:val="single" w:sz="4" w:space="0" w:color="auto"/>
            </w:tcBorders>
          </w:tcPr>
          <w:p w14:paraId="42B77F60" w14:textId="3A2743F1" w:rsidR="00E27480" w:rsidRPr="00BD1C2C" w:rsidRDefault="006B370D" w:rsidP="0013066A">
            <w:pPr>
              <w:rPr>
                <w:bCs/>
                <w:sz w:val="20"/>
                <w:szCs w:val="20"/>
                <w:lang w:val="en-GB"/>
              </w:rPr>
            </w:pPr>
            <w:r w:rsidRPr="00BD1C2C">
              <w:rPr>
                <w:bCs/>
                <w:sz w:val="20"/>
                <w:szCs w:val="20"/>
                <w:lang w:val="en-GB"/>
              </w:rPr>
              <w:t>119 (14)</w:t>
            </w:r>
          </w:p>
        </w:tc>
      </w:tr>
      <w:tr w:rsidR="00E27480" w:rsidRPr="00BD1C2C" w14:paraId="70AB4CCF"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28E0D95E" w14:textId="77777777" w:rsidR="00E27480" w:rsidRPr="00BD1C2C" w:rsidRDefault="00E27480" w:rsidP="0013066A">
            <w:pPr>
              <w:rPr>
                <w:bCs/>
                <w:sz w:val="20"/>
                <w:szCs w:val="20"/>
                <w:lang w:val="en-GB"/>
              </w:rPr>
            </w:pPr>
            <w:r w:rsidRPr="00BD1C2C">
              <w:rPr>
                <w:bCs/>
                <w:sz w:val="20"/>
                <w:szCs w:val="20"/>
                <w:lang w:val="en-GB"/>
              </w:rPr>
              <w:t xml:space="preserve">Qualifying event </w:t>
            </w:r>
          </w:p>
        </w:tc>
        <w:tc>
          <w:tcPr>
            <w:tcW w:w="1559" w:type="dxa"/>
            <w:tcBorders>
              <w:left w:val="single" w:sz="4" w:space="0" w:color="auto"/>
              <w:right w:val="single" w:sz="4" w:space="0" w:color="auto"/>
            </w:tcBorders>
          </w:tcPr>
          <w:p w14:paraId="445CFC97" w14:textId="77777777" w:rsidR="00E27480" w:rsidRPr="00BD1C2C" w:rsidRDefault="00E27480" w:rsidP="0013066A">
            <w:pPr>
              <w:rPr>
                <w:bCs/>
                <w:sz w:val="20"/>
                <w:szCs w:val="20"/>
                <w:lang w:val="en-GB"/>
              </w:rPr>
            </w:pPr>
          </w:p>
        </w:tc>
        <w:tc>
          <w:tcPr>
            <w:tcW w:w="1559" w:type="dxa"/>
            <w:tcBorders>
              <w:left w:val="single" w:sz="4" w:space="0" w:color="auto"/>
              <w:right w:val="single" w:sz="4" w:space="0" w:color="auto"/>
            </w:tcBorders>
          </w:tcPr>
          <w:p w14:paraId="6C41207E" w14:textId="2F46A60D" w:rsidR="00E27480" w:rsidRPr="00BD1C2C" w:rsidRDefault="00E27480" w:rsidP="0013066A">
            <w:pPr>
              <w:rPr>
                <w:bCs/>
                <w:sz w:val="20"/>
                <w:szCs w:val="20"/>
                <w:lang w:val="en-GB"/>
              </w:rPr>
            </w:pPr>
          </w:p>
        </w:tc>
        <w:tc>
          <w:tcPr>
            <w:tcW w:w="1560" w:type="dxa"/>
            <w:tcBorders>
              <w:left w:val="single" w:sz="4" w:space="0" w:color="auto"/>
              <w:right w:val="single" w:sz="4" w:space="0" w:color="auto"/>
            </w:tcBorders>
          </w:tcPr>
          <w:p w14:paraId="198881FA" w14:textId="77777777" w:rsidR="00E27480" w:rsidRPr="00BD1C2C" w:rsidRDefault="00E27480" w:rsidP="0013066A">
            <w:pPr>
              <w:rPr>
                <w:bCs/>
                <w:sz w:val="20"/>
                <w:szCs w:val="20"/>
                <w:lang w:val="en-GB"/>
              </w:rPr>
            </w:pPr>
          </w:p>
        </w:tc>
      </w:tr>
      <w:tr w:rsidR="00E27480" w:rsidRPr="00BD1C2C" w14:paraId="698AAACD"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76AE853A" w14:textId="2834BEFA" w:rsidR="00E27480" w:rsidRPr="00BD1C2C" w:rsidRDefault="00E27480" w:rsidP="0013066A">
            <w:pPr>
              <w:rPr>
                <w:sz w:val="20"/>
                <w:szCs w:val="20"/>
                <w:lang w:val="en-GB"/>
              </w:rPr>
            </w:pPr>
            <w:r w:rsidRPr="00BD1C2C">
              <w:rPr>
                <w:sz w:val="20"/>
                <w:szCs w:val="20"/>
                <w:lang w:val="en-GB"/>
              </w:rPr>
              <w:t>Amaurosis fugax or retinal stroke</w:t>
            </w:r>
            <w:r w:rsidR="00106F82" w:rsidRPr="00BD1C2C">
              <w:rPr>
                <w:sz w:val="20"/>
                <w:szCs w:val="20"/>
                <w:lang w:val="en-GB"/>
              </w:rPr>
              <w:t xml:space="preserve"> </w:t>
            </w:r>
            <w:r w:rsidR="00106F82" w:rsidRPr="00BD1C2C">
              <w:rPr>
                <w:bCs/>
                <w:sz w:val="20"/>
                <w:szCs w:val="20"/>
                <w:lang w:val="en-GB"/>
              </w:rPr>
              <w:t>(n, %)</w:t>
            </w:r>
          </w:p>
        </w:tc>
        <w:tc>
          <w:tcPr>
            <w:tcW w:w="1559" w:type="dxa"/>
            <w:tcBorders>
              <w:left w:val="single" w:sz="4" w:space="0" w:color="auto"/>
              <w:right w:val="single" w:sz="4" w:space="0" w:color="auto"/>
            </w:tcBorders>
          </w:tcPr>
          <w:p w14:paraId="12F543AD" w14:textId="0F867472" w:rsidR="00E27480" w:rsidRPr="00BD1C2C" w:rsidRDefault="006B370D" w:rsidP="0013066A">
            <w:pPr>
              <w:rPr>
                <w:sz w:val="20"/>
                <w:szCs w:val="20"/>
                <w:lang w:val="en-GB"/>
              </w:rPr>
            </w:pPr>
            <w:r w:rsidRPr="00BD1C2C">
              <w:rPr>
                <w:sz w:val="20"/>
                <w:szCs w:val="20"/>
                <w:lang w:val="en-GB"/>
              </w:rPr>
              <w:t>280</w:t>
            </w:r>
            <w:r w:rsidR="00E27480" w:rsidRPr="00BD1C2C">
              <w:rPr>
                <w:sz w:val="20"/>
                <w:szCs w:val="20"/>
                <w:lang w:val="en-GB"/>
              </w:rPr>
              <w:t xml:space="preserve"> (18)</w:t>
            </w:r>
          </w:p>
        </w:tc>
        <w:tc>
          <w:tcPr>
            <w:tcW w:w="1559" w:type="dxa"/>
            <w:tcBorders>
              <w:left w:val="single" w:sz="4" w:space="0" w:color="auto"/>
              <w:right w:val="single" w:sz="4" w:space="0" w:color="auto"/>
            </w:tcBorders>
          </w:tcPr>
          <w:p w14:paraId="4E32C5A4" w14:textId="342DE9F8" w:rsidR="00E27480" w:rsidRPr="00BD1C2C" w:rsidRDefault="006B370D" w:rsidP="0013066A">
            <w:pPr>
              <w:rPr>
                <w:sz w:val="20"/>
                <w:szCs w:val="20"/>
                <w:lang w:val="en-GB"/>
              </w:rPr>
            </w:pPr>
            <w:r w:rsidRPr="00BD1C2C">
              <w:rPr>
                <w:sz w:val="20"/>
                <w:szCs w:val="20"/>
                <w:lang w:val="en-GB"/>
              </w:rPr>
              <w:t>120 (20)</w:t>
            </w:r>
          </w:p>
        </w:tc>
        <w:tc>
          <w:tcPr>
            <w:tcW w:w="1560" w:type="dxa"/>
            <w:tcBorders>
              <w:left w:val="single" w:sz="4" w:space="0" w:color="auto"/>
              <w:right w:val="single" w:sz="4" w:space="0" w:color="auto"/>
            </w:tcBorders>
          </w:tcPr>
          <w:p w14:paraId="0CD500BE" w14:textId="60759D8B" w:rsidR="00E27480" w:rsidRPr="00BD1C2C" w:rsidRDefault="006B370D" w:rsidP="0013066A">
            <w:pPr>
              <w:rPr>
                <w:sz w:val="20"/>
                <w:szCs w:val="20"/>
                <w:lang w:val="en-GB"/>
              </w:rPr>
            </w:pPr>
            <w:r w:rsidRPr="00BD1C2C">
              <w:rPr>
                <w:sz w:val="20"/>
                <w:szCs w:val="20"/>
                <w:lang w:val="en-GB"/>
              </w:rPr>
              <w:t>160 (17)</w:t>
            </w:r>
          </w:p>
        </w:tc>
      </w:tr>
      <w:tr w:rsidR="00E27480" w:rsidRPr="00BD1C2C" w14:paraId="0A4BE81D"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07C75823" w14:textId="34CC07CC" w:rsidR="00E27480" w:rsidRPr="00BD1C2C" w:rsidRDefault="00E27480" w:rsidP="0013066A">
            <w:pPr>
              <w:rPr>
                <w:sz w:val="20"/>
                <w:szCs w:val="20"/>
                <w:lang w:val="en-GB"/>
              </w:rPr>
            </w:pPr>
            <w:r w:rsidRPr="00BD1C2C">
              <w:rPr>
                <w:sz w:val="20"/>
                <w:szCs w:val="20"/>
                <w:lang w:val="en-GB"/>
              </w:rPr>
              <w:t>Transient ischemic attack</w:t>
            </w:r>
            <w:r w:rsidR="00106F82" w:rsidRPr="00BD1C2C">
              <w:rPr>
                <w:sz w:val="20"/>
                <w:szCs w:val="20"/>
                <w:lang w:val="en-GB"/>
              </w:rPr>
              <w:t xml:space="preserve"> </w:t>
            </w:r>
            <w:r w:rsidR="00106F82" w:rsidRPr="00BD1C2C">
              <w:rPr>
                <w:bCs/>
                <w:sz w:val="20"/>
                <w:szCs w:val="20"/>
                <w:lang w:val="en-GB"/>
              </w:rPr>
              <w:t>(n, %)</w:t>
            </w:r>
          </w:p>
        </w:tc>
        <w:tc>
          <w:tcPr>
            <w:tcW w:w="1559" w:type="dxa"/>
            <w:tcBorders>
              <w:left w:val="single" w:sz="4" w:space="0" w:color="auto"/>
              <w:right w:val="single" w:sz="4" w:space="0" w:color="auto"/>
            </w:tcBorders>
          </w:tcPr>
          <w:p w14:paraId="24B66AAA" w14:textId="2021A173" w:rsidR="00E27480" w:rsidRPr="00BD1C2C" w:rsidRDefault="006B370D" w:rsidP="0013066A">
            <w:pPr>
              <w:rPr>
                <w:sz w:val="20"/>
                <w:szCs w:val="20"/>
                <w:lang w:val="en-GB"/>
              </w:rPr>
            </w:pPr>
            <w:r w:rsidRPr="00BD1C2C">
              <w:rPr>
                <w:sz w:val="20"/>
                <w:szCs w:val="20"/>
                <w:lang w:val="en-GB"/>
              </w:rPr>
              <w:t>535</w:t>
            </w:r>
            <w:r w:rsidR="00E27480" w:rsidRPr="00BD1C2C">
              <w:rPr>
                <w:sz w:val="20"/>
                <w:szCs w:val="20"/>
                <w:lang w:val="en-GB"/>
              </w:rPr>
              <w:t xml:space="preserve"> (35)</w:t>
            </w:r>
          </w:p>
        </w:tc>
        <w:tc>
          <w:tcPr>
            <w:tcW w:w="1559" w:type="dxa"/>
            <w:tcBorders>
              <w:left w:val="single" w:sz="4" w:space="0" w:color="auto"/>
              <w:right w:val="single" w:sz="4" w:space="0" w:color="auto"/>
            </w:tcBorders>
          </w:tcPr>
          <w:p w14:paraId="395F53B0" w14:textId="453B82BB" w:rsidR="00E27480" w:rsidRPr="00BD1C2C" w:rsidRDefault="006B370D" w:rsidP="0013066A">
            <w:pPr>
              <w:rPr>
                <w:sz w:val="20"/>
                <w:szCs w:val="20"/>
                <w:lang w:val="en-GB"/>
              </w:rPr>
            </w:pPr>
            <w:r w:rsidRPr="00BD1C2C">
              <w:rPr>
                <w:sz w:val="20"/>
                <w:szCs w:val="20"/>
                <w:lang w:val="en-GB"/>
              </w:rPr>
              <w:t>203 (34)</w:t>
            </w:r>
          </w:p>
        </w:tc>
        <w:tc>
          <w:tcPr>
            <w:tcW w:w="1560" w:type="dxa"/>
            <w:tcBorders>
              <w:left w:val="single" w:sz="4" w:space="0" w:color="auto"/>
              <w:right w:val="single" w:sz="4" w:space="0" w:color="auto"/>
            </w:tcBorders>
          </w:tcPr>
          <w:p w14:paraId="191A4C8C" w14:textId="1713247D" w:rsidR="00E27480" w:rsidRPr="00BD1C2C" w:rsidRDefault="006B370D" w:rsidP="0013066A">
            <w:pPr>
              <w:rPr>
                <w:sz w:val="20"/>
                <w:szCs w:val="20"/>
                <w:lang w:val="en-GB"/>
              </w:rPr>
            </w:pPr>
            <w:r w:rsidRPr="00BD1C2C">
              <w:rPr>
                <w:sz w:val="20"/>
                <w:szCs w:val="20"/>
                <w:lang w:val="en-GB"/>
              </w:rPr>
              <w:t>332 (35)</w:t>
            </w:r>
          </w:p>
        </w:tc>
      </w:tr>
      <w:tr w:rsidR="00E27480" w:rsidRPr="00BD1C2C" w14:paraId="7D8F174B"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1D145B82" w14:textId="374FFB51" w:rsidR="00E27480" w:rsidRPr="00BD1C2C" w:rsidRDefault="00E27480" w:rsidP="0013066A">
            <w:pPr>
              <w:rPr>
                <w:sz w:val="20"/>
                <w:szCs w:val="20"/>
                <w:lang w:val="en-GB"/>
              </w:rPr>
            </w:pPr>
            <w:r w:rsidRPr="00BD1C2C">
              <w:rPr>
                <w:sz w:val="20"/>
                <w:szCs w:val="20"/>
                <w:lang w:val="en-GB"/>
              </w:rPr>
              <w:t>Hemispheric stroke</w:t>
            </w:r>
            <w:r w:rsidR="00106F82" w:rsidRPr="00BD1C2C">
              <w:rPr>
                <w:sz w:val="20"/>
                <w:szCs w:val="20"/>
                <w:lang w:val="en-GB"/>
              </w:rPr>
              <w:t xml:space="preserve"> </w:t>
            </w:r>
            <w:r w:rsidR="00106F82" w:rsidRPr="00BD1C2C">
              <w:rPr>
                <w:bCs/>
                <w:sz w:val="20"/>
                <w:szCs w:val="20"/>
                <w:lang w:val="en-GB"/>
              </w:rPr>
              <w:t>(n, %)</w:t>
            </w:r>
          </w:p>
        </w:tc>
        <w:tc>
          <w:tcPr>
            <w:tcW w:w="1559" w:type="dxa"/>
            <w:tcBorders>
              <w:left w:val="single" w:sz="4" w:space="0" w:color="auto"/>
              <w:right w:val="single" w:sz="4" w:space="0" w:color="auto"/>
            </w:tcBorders>
          </w:tcPr>
          <w:p w14:paraId="3AE36287" w14:textId="7CAB98ED" w:rsidR="00E27480" w:rsidRPr="00BD1C2C" w:rsidRDefault="006B370D" w:rsidP="0013066A">
            <w:pPr>
              <w:rPr>
                <w:sz w:val="20"/>
                <w:szCs w:val="20"/>
                <w:lang w:val="en-GB"/>
              </w:rPr>
            </w:pPr>
            <w:r w:rsidRPr="00BD1C2C">
              <w:rPr>
                <w:sz w:val="20"/>
                <w:szCs w:val="20"/>
                <w:lang w:val="en-GB"/>
              </w:rPr>
              <w:t>725</w:t>
            </w:r>
            <w:r w:rsidR="00E27480" w:rsidRPr="00BD1C2C">
              <w:rPr>
                <w:sz w:val="20"/>
                <w:szCs w:val="20"/>
                <w:lang w:val="en-GB"/>
              </w:rPr>
              <w:t xml:space="preserve"> (47)</w:t>
            </w:r>
          </w:p>
        </w:tc>
        <w:tc>
          <w:tcPr>
            <w:tcW w:w="1559" w:type="dxa"/>
            <w:tcBorders>
              <w:left w:val="single" w:sz="4" w:space="0" w:color="auto"/>
              <w:right w:val="single" w:sz="4" w:space="0" w:color="auto"/>
            </w:tcBorders>
          </w:tcPr>
          <w:p w14:paraId="78DD9918" w14:textId="5E16C2AB" w:rsidR="00E27480" w:rsidRPr="00BD1C2C" w:rsidRDefault="006B370D" w:rsidP="0013066A">
            <w:pPr>
              <w:rPr>
                <w:sz w:val="20"/>
                <w:szCs w:val="20"/>
                <w:lang w:val="en-GB"/>
              </w:rPr>
            </w:pPr>
            <w:r w:rsidRPr="00BD1C2C">
              <w:rPr>
                <w:sz w:val="20"/>
                <w:szCs w:val="20"/>
                <w:lang w:val="en-GB"/>
              </w:rPr>
              <w:t>266 (45)</w:t>
            </w:r>
          </w:p>
        </w:tc>
        <w:tc>
          <w:tcPr>
            <w:tcW w:w="1560" w:type="dxa"/>
            <w:tcBorders>
              <w:left w:val="single" w:sz="4" w:space="0" w:color="auto"/>
              <w:right w:val="single" w:sz="4" w:space="0" w:color="auto"/>
            </w:tcBorders>
          </w:tcPr>
          <w:p w14:paraId="68472C32" w14:textId="2A36FCA7" w:rsidR="00E27480" w:rsidRPr="00BD1C2C" w:rsidRDefault="006B370D" w:rsidP="0013066A">
            <w:pPr>
              <w:rPr>
                <w:sz w:val="20"/>
                <w:szCs w:val="20"/>
                <w:lang w:val="en-GB"/>
              </w:rPr>
            </w:pPr>
            <w:r w:rsidRPr="00BD1C2C">
              <w:rPr>
                <w:sz w:val="20"/>
                <w:szCs w:val="20"/>
                <w:lang w:val="en-GB"/>
              </w:rPr>
              <w:t>459 (48)</w:t>
            </w:r>
          </w:p>
        </w:tc>
      </w:tr>
      <w:tr w:rsidR="00E27480" w:rsidRPr="00BD1C2C" w14:paraId="5BDC1280" w14:textId="77777777" w:rsidTr="00106F82">
        <w:trPr>
          <w:trHeight w:val="242"/>
        </w:trPr>
        <w:tc>
          <w:tcPr>
            <w:tcW w:w="4786" w:type="dxa"/>
            <w:tcBorders>
              <w:top w:val="single" w:sz="4" w:space="0" w:color="auto"/>
              <w:left w:val="single" w:sz="4" w:space="0" w:color="auto"/>
              <w:bottom w:val="single" w:sz="4" w:space="0" w:color="auto"/>
              <w:right w:val="single" w:sz="4" w:space="0" w:color="auto"/>
            </w:tcBorders>
            <w:noWrap/>
            <w:hideMark/>
          </w:tcPr>
          <w:p w14:paraId="757D8BEF" w14:textId="661F1208" w:rsidR="00E27480" w:rsidRPr="00BD1C2C" w:rsidRDefault="00E27480" w:rsidP="0013066A">
            <w:pPr>
              <w:rPr>
                <w:bCs/>
                <w:sz w:val="20"/>
                <w:szCs w:val="20"/>
                <w:lang w:val="en-GB"/>
              </w:rPr>
            </w:pPr>
            <w:r w:rsidRPr="00BD1C2C">
              <w:rPr>
                <w:bCs/>
                <w:sz w:val="20"/>
                <w:szCs w:val="20"/>
                <w:lang w:val="en-GB"/>
              </w:rPr>
              <w:t>History of stroke prior to qualifying event</w:t>
            </w:r>
            <w:r w:rsidR="00106F82" w:rsidRPr="00BD1C2C">
              <w:rPr>
                <w:bCs/>
                <w:sz w:val="20"/>
                <w:szCs w:val="20"/>
                <w:lang w:val="en-GB"/>
              </w:rPr>
              <w:t xml:space="preserve"> (n, %)</w:t>
            </w:r>
            <w:r w:rsidRPr="00BD1C2C">
              <w:rPr>
                <w:bCs/>
                <w:sz w:val="20"/>
                <w:szCs w:val="20"/>
                <w:lang w:val="en-GB"/>
              </w:rPr>
              <w:t xml:space="preserve">* </w:t>
            </w:r>
          </w:p>
        </w:tc>
        <w:tc>
          <w:tcPr>
            <w:tcW w:w="1559" w:type="dxa"/>
            <w:tcBorders>
              <w:left w:val="single" w:sz="4" w:space="0" w:color="auto"/>
              <w:right w:val="single" w:sz="4" w:space="0" w:color="auto"/>
            </w:tcBorders>
          </w:tcPr>
          <w:p w14:paraId="15EAE9DC" w14:textId="5788B257" w:rsidR="00E27480" w:rsidRPr="00BD1C2C" w:rsidRDefault="00E27480" w:rsidP="0013066A">
            <w:pPr>
              <w:rPr>
                <w:bCs/>
                <w:sz w:val="20"/>
                <w:szCs w:val="20"/>
                <w:lang w:val="en-GB"/>
              </w:rPr>
            </w:pPr>
            <w:r w:rsidRPr="00BD1C2C">
              <w:rPr>
                <w:bCs/>
                <w:sz w:val="20"/>
                <w:szCs w:val="20"/>
                <w:lang w:val="en-GB"/>
              </w:rPr>
              <w:t>162 (1</w:t>
            </w:r>
            <w:r w:rsidR="006B370D" w:rsidRPr="00BD1C2C">
              <w:rPr>
                <w:bCs/>
                <w:sz w:val="20"/>
                <w:szCs w:val="20"/>
                <w:lang w:val="en-GB"/>
              </w:rPr>
              <w:t>7</w:t>
            </w:r>
            <w:r w:rsidRPr="00BD1C2C">
              <w:rPr>
                <w:bCs/>
                <w:sz w:val="20"/>
                <w:szCs w:val="20"/>
                <w:lang w:val="en-GB"/>
              </w:rPr>
              <w:t>)</w:t>
            </w:r>
          </w:p>
        </w:tc>
        <w:tc>
          <w:tcPr>
            <w:tcW w:w="1559" w:type="dxa"/>
            <w:tcBorders>
              <w:left w:val="single" w:sz="4" w:space="0" w:color="auto"/>
              <w:right w:val="single" w:sz="4" w:space="0" w:color="auto"/>
            </w:tcBorders>
          </w:tcPr>
          <w:p w14:paraId="5A8A4C9F" w14:textId="322E86ED" w:rsidR="00E27480" w:rsidRPr="00BD1C2C" w:rsidRDefault="006B370D" w:rsidP="0013066A">
            <w:pPr>
              <w:rPr>
                <w:bCs/>
                <w:sz w:val="20"/>
                <w:szCs w:val="20"/>
                <w:lang w:val="en-GB"/>
              </w:rPr>
            </w:pPr>
            <w:r w:rsidRPr="00BD1C2C">
              <w:rPr>
                <w:bCs/>
                <w:sz w:val="20"/>
                <w:szCs w:val="20"/>
                <w:lang w:val="en-GB"/>
              </w:rPr>
              <w:t>92 (20)</w:t>
            </w:r>
          </w:p>
        </w:tc>
        <w:tc>
          <w:tcPr>
            <w:tcW w:w="1560" w:type="dxa"/>
            <w:tcBorders>
              <w:left w:val="single" w:sz="4" w:space="0" w:color="auto"/>
              <w:right w:val="single" w:sz="4" w:space="0" w:color="auto"/>
            </w:tcBorders>
          </w:tcPr>
          <w:p w14:paraId="06AA43E9" w14:textId="3DFB0B56" w:rsidR="00E27480" w:rsidRPr="00BD1C2C" w:rsidRDefault="006B370D" w:rsidP="0013066A">
            <w:pPr>
              <w:rPr>
                <w:bCs/>
                <w:sz w:val="20"/>
                <w:szCs w:val="20"/>
                <w:lang w:val="en-GB"/>
              </w:rPr>
            </w:pPr>
            <w:r w:rsidRPr="00BD1C2C">
              <w:rPr>
                <w:bCs/>
                <w:sz w:val="20"/>
                <w:szCs w:val="20"/>
                <w:lang w:val="en-GB"/>
              </w:rPr>
              <w:t>70 (14)</w:t>
            </w:r>
          </w:p>
        </w:tc>
      </w:tr>
    </w:tbl>
    <w:p w14:paraId="10EE5C39" w14:textId="77777777" w:rsidR="00251DFC" w:rsidRPr="00BD1C2C" w:rsidRDefault="00251DFC" w:rsidP="00C046C8">
      <w:pPr>
        <w:rPr>
          <w:sz w:val="20"/>
          <w:szCs w:val="20"/>
          <w:lang w:val="en-GB"/>
        </w:rPr>
      </w:pPr>
    </w:p>
    <w:p w14:paraId="2354B533" w14:textId="0FAFA0B5" w:rsidR="00251DFC" w:rsidRPr="00BD1C2C" w:rsidRDefault="00106F82" w:rsidP="00106F82">
      <w:pPr>
        <w:spacing w:before="240" w:line="480" w:lineRule="auto"/>
        <w:rPr>
          <w:sz w:val="20"/>
          <w:szCs w:val="20"/>
          <w:lang w:val="en-GB"/>
        </w:rPr>
      </w:pPr>
      <w:r w:rsidRPr="00BD1C2C">
        <w:rPr>
          <w:color w:val="000000"/>
          <w:lang w:val="en-GB" w:eastAsia="de-CH"/>
        </w:rPr>
        <w:t xml:space="preserve">Legend: Patients with deployed stents and available data on stent type are included. Data are n/N (%), unless otherwise indicated. *Data were not gathered in the Stent-Protected Angioplasty versus Carotid Endarterectomy (SPACE) trial. </w:t>
      </w:r>
    </w:p>
    <w:p w14:paraId="03B82BBD" w14:textId="77777777" w:rsidR="00251DFC" w:rsidRPr="00BD1C2C" w:rsidRDefault="00251DFC" w:rsidP="00C046C8">
      <w:pPr>
        <w:rPr>
          <w:sz w:val="20"/>
          <w:szCs w:val="20"/>
          <w:lang w:val="en-GB"/>
        </w:rPr>
      </w:pPr>
    </w:p>
    <w:p w14:paraId="4B72ACB4" w14:textId="77777777" w:rsidR="00251DFC" w:rsidRPr="00BD1C2C" w:rsidRDefault="00251DFC" w:rsidP="00C046C8">
      <w:pPr>
        <w:rPr>
          <w:sz w:val="20"/>
          <w:szCs w:val="20"/>
          <w:lang w:val="en-GB"/>
        </w:rPr>
      </w:pPr>
    </w:p>
    <w:p w14:paraId="09585454" w14:textId="77777777" w:rsidR="00251DFC" w:rsidRPr="00BD1C2C" w:rsidRDefault="00251DFC" w:rsidP="00C046C8">
      <w:pPr>
        <w:rPr>
          <w:sz w:val="20"/>
          <w:szCs w:val="20"/>
          <w:lang w:val="en-GB"/>
        </w:rPr>
      </w:pPr>
    </w:p>
    <w:p w14:paraId="47060F1D" w14:textId="0A25E06F" w:rsidR="005D5FE7" w:rsidRPr="00BD1C2C" w:rsidRDefault="005D5FE7" w:rsidP="005D5FE7">
      <w:pPr>
        <w:pageBreakBefore/>
        <w:spacing w:before="240" w:after="240" w:line="480" w:lineRule="auto"/>
        <w:rPr>
          <w:b/>
          <w:lang w:val="en-GB"/>
        </w:rPr>
      </w:pPr>
      <w:bookmarkStart w:id="0" w:name="_Hlk479464307"/>
      <w:r w:rsidRPr="00BD1C2C">
        <w:rPr>
          <w:b/>
          <w:lang w:val="en-GB"/>
        </w:rPr>
        <w:lastRenderedPageBreak/>
        <w:t xml:space="preserve">Supplementary table </w:t>
      </w:r>
      <w:r w:rsidR="00106F82" w:rsidRPr="00BD1C2C">
        <w:rPr>
          <w:b/>
          <w:lang w:val="en-GB"/>
        </w:rPr>
        <w:t>2:</w:t>
      </w:r>
      <w:r w:rsidRPr="00BD1C2C">
        <w:rPr>
          <w:b/>
          <w:lang w:val="en-GB"/>
        </w:rPr>
        <w:t xml:space="preserve"> Procedure-related characteristics in contributing trials.</w:t>
      </w:r>
    </w:p>
    <w:bookmarkEnd w:id="0"/>
    <w:tbl>
      <w:tblPr>
        <w:tblStyle w:val="Tabellenraster"/>
        <w:tblW w:w="0" w:type="auto"/>
        <w:tblLayout w:type="fixed"/>
        <w:tblLook w:val="04A0" w:firstRow="1" w:lastRow="0" w:firstColumn="1" w:lastColumn="0" w:noHBand="0" w:noVBand="1"/>
      </w:tblPr>
      <w:tblGrid>
        <w:gridCol w:w="4224"/>
        <w:gridCol w:w="1203"/>
        <w:gridCol w:w="1204"/>
        <w:gridCol w:w="1204"/>
        <w:gridCol w:w="1204"/>
      </w:tblGrid>
      <w:tr w:rsidR="005D5FE7" w:rsidRPr="00BD1C2C" w14:paraId="2188729F" w14:textId="77777777" w:rsidTr="0013066A">
        <w:tc>
          <w:tcPr>
            <w:tcW w:w="4224" w:type="dxa"/>
          </w:tcPr>
          <w:p w14:paraId="4E7EA96B" w14:textId="77777777" w:rsidR="005D5FE7" w:rsidRPr="00BD1C2C" w:rsidRDefault="005D5FE7" w:rsidP="0013066A">
            <w:pPr>
              <w:rPr>
                <w:sz w:val="20"/>
                <w:szCs w:val="20"/>
                <w:lang w:val="en-GB" w:eastAsia="en-US"/>
              </w:rPr>
            </w:pPr>
          </w:p>
        </w:tc>
        <w:tc>
          <w:tcPr>
            <w:tcW w:w="1203" w:type="dxa"/>
          </w:tcPr>
          <w:p w14:paraId="6C365E90" w14:textId="77777777" w:rsidR="005D5FE7" w:rsidRPr="00BD1C2C" w:rsidRDefault="005D5FE7" w:rsidP="0013066A">
            <w:pPr>
              <w:pageBreakBefore/>
              <w:jc w:val="center"/>
              <w:rPr>
                <w:sz w:val="20"/>
                <w:szCs w:val="20"/>
                <w:lang w:val="en-GB"/>
              </w:rPr>
            </w:pPr>
            <w:r w:rsidRPr="00BD1C2C">
              <w:rPr>
                <w:sz w:val="20"/>
                <w:szCs w:val="20"/>
                <w:lang w:val="en-GB"/>
              </w:rPr>
              <w:t>Total</w:t>
            </w:r>
          </w:p>
          <w:p w14:paraId="7CD69B57" w14:textId="77777777" w:rsidR="005D5FE7" w:rsidRPr="00BD1C2C" w:rsidRDefault="005D5FE7" w:rsidP="0013066A">
            <w:pPr>
              <w:pageBreakBefore/>
              <w:jc w:val="center"/>
              <w:rPr>
                <w:sz w:val="20"/>
                <w:szCs w:val="20"/>
                <w:lang w:val="en-GB"/>
              </w:rPr>
            </w:pPr>
            <w:r w:rsidRPr="00BD1C2C">
              <w:rPr>
                <w:sz w:val="20"/>
                <w:szCs w:val="20"/>
                <w:lang w:val="en-GB"/>
              </w:rPr>
              <w:t>(n=1557)</w:t>
            </w:r>
          </w:p>
          <w:p w14:paraId="50126180" w14:textId="77777777" w:rsidR="005D5FE7" w:rsidRPr="00BD1C2C" w:rsidRDefault="005D5FE7" w:rsidP="0013066A">
            <w:pPr>
              <w:pageBreakBefore/>
              <w:jc w:val="center"/>
              <w:rPr>
                <w:sz w:val="20"/>
                <w:szCs w:val="20"/>
                <w:lang w:val="en-GB" w:eastAsia="en-US"/>
              </w:rPr>
            </w:pPr>
          </w:p>
        </w:tc>
        <w:tc>
          <w:tcPr>
            <w:tcW w:w="1204" w:type="dxa"/>
            <w:hideMark/>
          </w:tcPr>
          <w:p w14:paraId="6C333FF1" w14:textId="77777777" w:rsidR="005D5FE7" w:rsidRPr="00BD1C2C" w:rsidRDefault="005D5FE7" w:rsidP="0013066A">
            <w:pPr>
              <w:pageBreakBefore/>
              <w:jc w:val="center"/>
              <w:rPr>
                <w:sz w:val="20"/>
                <w:szCs w:val="20"/>
                <w:lang w:val="en-GB"/>
              </w:rPr>
            </w:pPr>
            <w:r w:rsidRPr="00BD1C2C">
              <w:rPr>
                <w:sz w:val="20"/>
                <w:szCs w:val="20"/>
                <w:lang w:val="en-GB"/>
              </w:rPr>
              <w:t>EVA-3S</w:t>
            </w:r>
          </w:p>
          <w:p w14:paraId="0528F598" w14:textId="77777777" w:rsidR="005D5FE7" w:rsidRPr="00BD1C2C" w:rsidRDefault="005D5FE7" w:rsidP="0013066A">
            <w:pPr>
              <w:pageBreakBefore/>
              <w:jc w:val="center"/>
              <w:rPr>
                <w:sz w:val="20"/>
                <w:szCs w:val="20"/>
                <w:lang w:val="en-GB" w:eastAsia="en-US"/>
              </w:rPr>
            </w:pPr>
            <w:r w:rsidRPr="00BD1C2C">
              <w:rPr>
                <w:sz w:val="20"/>
                <w:szCs w:val="20"/>
                <w:lang w:val="en-GB"/>
              </w:rPr>
              <w:t>(n=246)</w:t>
            </w:r>
          </w:p>
        </w:tc>
        <w:tc>
          <w:tcPr>
            <w:tcW w:w="1204" w:type="dxa"/>
            <w:hideMark/>
          </w:tcPr>
          <w:p w14:paraId="0F62710F" w14:textId="77777777" w:rsidR="005D5FE7" w:rsidRPr="00BD1C2C" w:rsidRDefault="005D5FE7" w:rsidP="0013066A">
            <w:pPr>
              <w:pageBreakBefore/>
              <w:jc w:val="center"/>
              <w:rPr>
                <w:sz w:val="20"/>
                <w:szCs w:val="20"/>
                <w:lang w:val="en-GB"/>
              </w:rPr>
            </w:pPr>
            <w:r w:rsidRPr="00BD1C2C">
              <w:rPr>
                <w:sz w:val="20"/>
                <w:szCs w:val="20"/>
                <w:lang w:val="en-GB"/>
              </w:rPr>
              <w:t>SPACE</w:t>
            </w:r>
          </w:p>
          <w:p w14:paraId="4E97FFB3" w14:textId="77777777" w:rsidR="005D5FE7" w:rsidRPr="00BD1C2C" w:rsidRDefault="005D5FE7" w:rsidP="0013066A">
            <w:pPr>
              <w:pageBreakBefore/>
              <w:jc w:val="center"/>
              <w:rPr>
                <w:sz w:val="20"/>
                <w:szCs w:val="20"/>
                <w:lang w:val="en-GB" w:eastAsia="en-US"/>
              </w:rPr>
            </w:pPr>
            <w:r w:rsidRPr="00BD1C2C">
              <w:rPr>
                <w:sz w:val="20"/>
                <w:szCs w:val="20"/>
                <w:lang w:val="en-GB"/>
              </w:rPr>
              <w:t>(n=573)</w:t>
            </w:r>
          </w:p>
        </w:tc>
        <w:tc>
          <w:tcPr>
            <w:tcW w:w="1204" w:type="dxa"/>
            <w:hideMark/>
          </w:tcPr>
          <w:p w14:paraId="38395929" w14:textId="77777777" w:rsidR="005D5FE7" w:rsidRPr="00BD1C2C" w:rsidRDefault="005D5FE7" w:rsidP="0013066A">
            <w:pPr>
              <w:pageBreakBefore/>
              <w:jc w:val="center"/>
              <w:rPr>
                <w:sz w:val="20"/>
                <w:szCs w:val="20"/>
                <w:lang w:val="en-GB"/>
              </w:rPr>
            </w:pPr>
            <w:r w:rsidRPr="00BD1C2C">
              <w:rPr>
                <w:sz w:val="20"/>
                <w:szCs w:val="20"/>
                <w:lang w:val="en-GB"/>
              </w:rPr>
              <w:t>ICSS</w:t>
            </w:r>
          </w:p>
          <w:p w14:paraId="0B1E394A" w14:textId="77777777" w:rsidR="005D5FE7" w:rsidRPr="00BD1C2C" w:rsidRDefault="005D5FE7" w:rsidP="0013066A">
            <w:pPr>
              <w:pageBreakBefore/>
              <w:jc w:val="center"/>
              <w:rPr>
                <w:sz w:val="20"/>
                <w:szCs w:val="20"/>
                <w:lang w:val="en-GB" w:eastAsia="en-US"/>
              </w:rPr>
            </w:pPr>
            <w:r w:rsidRPr="00BD1C2C">
              <w:rPr>
                <w:sz w:val="20"/>
                <w:szCs w:val="20"/>
                <w:lang w:val="en-GB"/>
              </w:rPr>
              <w:t>(n=738)</w:t>
            </w:r>
          </w:p>
        </w:tc>
      </w:tr>
      <w:tr w:rsidR="005D5FE7" w:rsidRPr="00BD1C2C" w14:paraId="18A69DFA" w14:textId="77777777" w:rsidTr="0013066A">
        <w:trPr>
          <w:trHeight w:val="240"/>
        </w:trPr>
        <w:tc>
          <w:tcPr>
            <w:tcW w:w="4224" w:type="dxa"/>
            <w:noWrap/>
            <w:hideMark/>
          </w:tcPr>
          <w:p w14:paraId="0AA21415" w14:textId="77777777" w:rsidR="005D5FE7" w:rsidRPr="00BD1C2C" w:rsidRDefault="005D5FE7" w:rsidP="0013066A">
            <w:pPr>
              <w:rPr>
                <w:bCs/>
                <w:color w:val="000000"/>
                <w:sz w:val="20"/>
                <w:szCs w:val="20"/>
                <w:lang w:val="en-GB"/>
              </w:rPr>
            </w:pPr>
            <w:r w:rsidRPr="00BD1C2C">
              <w:rPr>
                <w:bCs/>
                <w:color w:val="000000"/>
                <w:sz w:val="20"/>
                <w:szCs w:val="20"/>
                <w:lang w:val="en-GB"/>
              </w:rPr>
              <w:t>Stent design (n, %)</w:t>
            </w:r>
          </w:p>
        </w:tc>
        <w:tc>
          <w:tcPr>
            <w:tcW w:w="1203" w:type="dxa"/>
          </w:tcPr>
          <w:p w14:paraId="06E926B3" w14:textId="77777777" w:rsidR="005D5FE7" w:rsidRPr="00BD1C2C" w:rsidRDefault="005D5FE7" w:rsidP="0013066A">
            <w:pPr>
              <w:jc w:val="center"/>
              <w:rPr>
                <w:bCs/>
                <w:color w:val="000000"/>
                <w:sz w:val="20"/>
                <w:szCs w:val="20"/>
                <w:lang w:val="en-GB"/>
              </w:rPr>
            </w:pPr>
          </w:p>
        </w:tc>
        <w:tc>
          <w:tcPr>
            <w:tcW w:w="1204" w:type="dxa"/>
          </w:tcPr>
          <w:p w14:paraId="397E55ED" w14:textId="77777777" w:rsidR="005D5FE7" w:rsidRPr="00BD1C2C" w:rsidRDefault="005D5FE7" w:rsidP="0013066A">
            <w:pPr>
              <w:jc w:val="center"/>
              <w:rPr>
                <w:bCs/>
                <w:color w:val="000000"/>
                <w:sz w:val="20"/>
                <w:szCs w:val="20"/>
                <w:lang w:val="en-GB"/>
              </w:rPr>
            </w:pPr>
          </w:p>
        </w:tc>
        <w:tc>
          <w:tcPr>
            <w:tcW w:w="1204" w:type="dxa"/>
          </w:tcPr>
          <w:p w14:paraId="3EB34814" w14:textId="77777777" w:rsidR="005D5FE7" w:rsidRPr="00BD1C2C" w:rsidRDefault="005D5FE7" w:rsidP="0013066A">
            <w:pPr>
              <w:jc w:val="center"/>
              <w:rPr>
                <w:bCs/>
                <w:color w:val="000000"/>
                <w:sz w:val="20"/>
                <w:szCs w:val="20"/>
                <w:lang w:val="en-GB"/>
              </w:rPr>
            </w:pPr>
          </w:p>
        </w:tc>
        <w:tc>
          <w:tcPr>
            <w:tcW w:w="1204" w:type="dxa"/>
          </w:tcPr>
          <w:p w14:paraId="7EE0FF14" w14:textId="77777777" w:rsidR="005D5FE7" w:rsidRPr="00BD1C2C" w:rsidRDefault="005D5FE7" w:rsidP="0013066A">
            <w:pPr>
              <w:jc w:val="center"/>
              <w:rPr>
                <w:bCs/>
                <w:color w:val="000000"/>
                <w:sz w:val="20"/>
                <w:szCs w:val="20"/>
                <w:lang w:val="en-GB"/>
              </w:rPr>
            </w:pPr>
          </w:p>
        </w:tc>
      </w:tr>
      <w:tr w:rsidR="005D5FE7" w:rsidRPr="00BD1C2C" w14:paraId="5E42097E" w14:textId="77777777" w:rsidTr="0013066A">
        <w:trPr>
          <w:trHeight w:val="240"/>
        </w:trPr>
        <w:tc>
          <w:tcPr>
            <w:tcW w:w="4224" w:type="dxa"/>
            <w:noWrap/>
            <w:hideMark/>
          </w:tcPr>
          <w:p w14:paraId="4B072F1A" w14:textId="77777777" w:rsidR="005D5FE7" w:rsidRPr="00BD1C2C" w:rsidRDefault="005D5FE7" w:rsidP="0013066A">
            <w:pPr>
              <w:ind w:left="708"/>
              <w:rPr>
                <w:color w:val="000000"/>
                <w:sz w:val="20"/>
                <w:szCs w:val="20"/>
                <w:lang w:val="en-GB"/>
              </w:rPr>
            </w:pPr>
            <w:r w:rsidRPr="00BD1C2C">
              <w:rPr>
                <w:color w:val="000000"/>
                <w:sz w:val="20"/>
                <w:szCs w:val="20"/>
                <w:lang w:val="en-GB"/>
              </w:rPr>
              <w:t xml:space="preserve">Open-cell </w:t>
            </w:r>
          </w:p>
        </w:tc>
        <w:tc>
          <w:tcPr>
            <w:tcW w:w="1203" w:type="dxa"/>
          </w:tcPr>
          <w:p w14:paraId="6DA6C385" w14:textId="77777777" w:rsidR="005D5FE7" w:rsidRPr="00BD1C2C" w:rsidRDefault="005D5FE7" w:rsidP="0013066A">
            <w:pPr>
              <w:jc w:val="center"/>
              <w:rPr>
                <w:color w:val="000000"/>
                <w:sz w:val="20"/>
                <w:szCs w:val="20"/>
                <w:lang w:val="en-GB"/>
              </w:rPr>
            </w:pPr>
            <w:r w:rsidRPr="00BD1C2C">
              <w:rPr>
                <w:color w:val="000000"/>
                <w:sz w:val="20"/>
                <w:szCs w:val="20"/>
                <w:lang w:val="en-GB"/>
              </w:rPr>
              <w:t>595 (38.2)</w:t>
            </w:r>
          </w:p>
        </w:tc>
        <w:tc>
          <w:tcPr>
            <w:tcW w:w="1204" w:type="dxa"/>
          </w:tcPr>
          <w:p w14:paraId="31A7C5A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101 (41.1)</w:t>
            </w:r>
          </w:p>
        </w:tc>
        <w:tc>
          <w:tcPr>
            <w:tcW w:w="1204" w:type="dxa"/>
          </w:tcPr>
          <w:p w14:paraId="0C5710C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127 (22.2)</w:t>
            </w:r>
          </w:p>
        </w:tc>
        <w:tc>
          <w:tcPr>
            <w:tcW w:w="1204" w:type="dxa"/>
          </w:tcPr>
          <w:p w14:paraId="032C86F5"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367 (49.7)</w:t>
            </w:r>
          </w:p>
        </w:tc>
      </w:tr>
      <w:tr w:rsidR="005D5FE7" w:rsidRPr="00BD1C2C" w14:paraId="1ABE83A6" w14:textId="77777777" w:rsidTr="0013066A">
        <w:trPr>
          <w:trHeight w:val="240"/>
        </w:trPr>
        <w:tc>
          <w:tcPr>
            <w:tcW w:w="4224" w:type="dxa"/>
            <w:noWrap/>
          </w:tcPr>
          <w:p w14:paraId="2673123A" w14:textId="77777777" w:rsidR="005D5FE7" w:rsidRPr="00BD1C2C" w:rsidRDefault="005D5FE7" w:rsidP="0013066A">
            <w:pPr>
              <w:ind w:left="1416" w:hanging="140"/>
              <w:rPr>
                <w:sz w:val="20"/>
                <w:szCs w:val="20"/>
                <w:lang w:val="en-GB"/>
              </w:rPr>
            </w:pPr>
            <w:r w:rsidRPr="00BD1C2C">
              <w:rPr>
                <w:sz w:val="20"/>
                <w:szCs w:val="20"/>
                <w:lang w:val="en-GB"/>
              </w:rPr>
              <w:t>Precise RX (Cordis)</w:t>
            </w:r>
          </w:p>
        </w:tc>
        <w:tc>
          <w:tcPr>
            <w:tcW w:w="1203" w:type="dxa"/>
          </w:tcPr>
          <w:p w14:paraId="278EF152" w14:textId="77777777" w:rsidR="005D5FE7" w:rsidRPr="00BD1C2C" w:rsidRDefault="005D5FE7" w:rsidP="0013066A">
            <w:pPr>
              <w:jc w:val="center"/>
              <w:rPr>
                <w:color w:val="000000"/>
                <w:sz w:val="20"/>
                <w:szCs w:val="20"/>
                <w:lang w:val="en-GB"/>
              </w:rPr>
            </w:pPr>
            <w:r w:rsidRPr="00BD1C2C">
              <w:rPr>
                <w:color w:val="000000"/>
                <w:sz w:val="20"/>
                <w:szCs w:val="20"/>
                <w:lang w:val="en-GB"/>
              </w:rPr>
              <w:t>263 (16.9)</w:t>
            </w:r>
          </w:p>
        </w:tc>
        <w:tc>
          <w:tcPr>
            <w:tcW w:w="1204" w:type="dxa"/>
          </w:tcPr>
          <w:p w14:paraId="31CC9DB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26 (10.6)</w:t>
            </w:r>
          </w:p>
        </w:tc>
        <w:tc>
          <w:tcPr>
            <w:tcW w:w="1204" w:type="dxa"/>
          </w:tcPr>
          <w:p w14:paraId="11CC82C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35 (6.1)</w:t>
            </w:r>
          </w:p>
        </w:tc>
        <w:tc>
          <w:tcPr>
            <w:tcW w:w="1204" w:type="dxa"/>
          </w:tcPr>
          <w:p w14:paraId="6DC0DBD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202 (27.4)</w:t>
            </w:r>
          </w:p>
        </w:tc>
      </w:tr>
      <w:tr w:rsidR="005D5FE7" w:rsidRPr="00BD1C2C" w14:paraId="12844D61" w14:textId="77777777" w:rsidTr="0013066A">
        <w:trPr>
          <w:trHeight w:val="240"/>
        </w:trPr>
        <w:tc>
          <w:tcPr>
            <w:tcW w:w="4224" w:type="dxa"/>
            <w:noWrap/>
          </w:tcPr>
          <w:p w14:paraId="19CD4828" w14:textId="77777777" w:rsidR="005D5FE7" w:rsidRPr="00BD1C2C" w:rsidRDefault="005D5FE7" w:rsidP="0013066A">
            <w:pPr>
              <w:ind w:left="1276"/>
              <w:rPr>
                <w:sz w:val="20"/>
                <w:szCs w:val="20"/>
                <w:lang w:val="en-GB"/>
              </w:rPr>
            </w:pPr>
            <w:proofErr w:type="spellStart"/>
            <w:r w:rsidRPr="00BD1C2C">
              <w:rPr>
                <w:sz w:val="20"/>
                <w:szCs w:val="20"/>
                <w:lang w:val="en-GB"/>
              </w:rPr>
              <w:t>Acculink</w:t>
            </w:r>
            <w:proofErr w:type="spellEnd"/>
            <w:r w:rsidRPr="00BD1C2C">
              <w:rPr>
                <w:sz w:val="20"/>
                <w:szCs w:val="20"/>
                <w:lang w:val="en-GB"/>
              </w:rPr>
              <w:t xml:space="preserve"> (Guidant/Abbott)</w:t>
            </w:r>
          </w:p>
        </w:tc>
        <w:tc>
          <w:tcPr>
            <w:tcW w:w="1203" w:type="dxa"/>
          </w:tcPr>
          <w:p w14:paraId="7355D9A1" w14:textId="77777777" w:rsidR="005D5FE7" w:rsidRPr="00BD1C2C" w:rsidRDefault="005D5FE7" w:rsidP="0013066A">
            <w:pPr>
              <w:jc w:val="center"/>
              <w:rPr>
                <w:color w:val="000000"/>
                <w:sz w:val="20"/>
                <w:szCs w:val="20"/>
                <w:lang w:val="en-GB"/>
              </w:rPr>
            </w:pPr>
            <w:r w:rsidRPr="00BD1C2C">
              <w:rPr>
                <w:color w:val="000000"/>
                <w:sz w:val="20"/>
                <w:szCs w:val="20"/>
                <w:lang w:val="en-GB"/>
              </w:rPr>
              <w:t>232 (14.9)</w:t>
            </w:r>
          </w:p>
        </w:tc>
        <w:tc>
          <w:tcPr>
            <w:tcW w:w="1204" w:type="dxa"/>
          </w:tcPr>
          <w:p w14:paraId="3F8AF10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70 (28.5)</w:t>
            </w:r>
          </w:p>
        </w:tc>
        <w:tc>
          <w:tcPr>
            <w:tcW w:w="1204" w:type="dxa"/>
          </w:tcPr>
          <w:p w14:paraId="504E211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92 (16.1)</w:t>
            </w:r>
          </w:p>
        </w:tc>
        <w:tc>
          <w:tcPr>
            <w:tcW w:w="1204" w:type="dxa"/>
          </w:tcPr>
          <w:p w14:paraId="60575C7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70 (9.5)</w:t>
            </w:r>
          </w:p>
        </w:tc>
      </w:tr>
      <w:tr w:rsidR="005D5FE7" w:rsidRPr="00BD1C2C" w14:paraId="5FA214B3" w14:textId="77777777" w:rsidTr="0013066A">
        <w:trPr>
          <w:trHeight w:val="240"/>
        </w:trPr>
        <w:tc>
          <w:tcPr>
            <w:tcW w:w="4224" w:type="dxa"/>
            <w:noWrap/>
          </w:tcPr>
          <w:p w14:paraId="78994286" w14:textId="77777777" w:rsidR="005D5FE7" w:rsidRPr="00BD1C2C" w:rsidRDefault="005D5FE7" w:rsidP="0013066A">
            <w:pPr>
              <w:ind w:left="1276"/>
              <w:rPr>
                <w:sz w:val="20"/>
                <w:szCs w:val="20"/>
                <w:lang w:val="en-GB"/>
              </w:rPr>
            </w:pPr>
            <w:r w:rsidRPr="00BD1C2C">
              <w:rPr>
                <w:sz w:val="20"/>
                <w:szCs w:val="20"/>
                <w:lang w:val="en-GB"/>
              </w:rPr>
              <w:t>Protégé (EV3)</w:t>
            </w:r>
          </w:p>
        </w:tc>
        <w:tc>
          <w:tcPr>
            <w:tcW w:w="1203" w:type="dxa"/>
          </w:tcPr>
          <w:p w14:paraId="2A9A090A" w14:textId="77777777" w:rsidR="005D5FE7" w:rsidRPr="00BD1C2C" w:rsidRDefault="005D5FE7" w:rsidP="0013066A">
            <w:pPr>
              <w:jc w:val="center"/>
              <w:rPr>
                <w:color w:val="000000"/>
                <w:sz w:val="20"/>
                <w:szCs w:val="20"/>
                <w:lang w:val="en-GB"/>
              </w:rPr>
            </w:pPr>
            <w:r w:rsidRPr="00BD1C2C">
              <w:rPr>
                <w:color w:val="000000"/>
                <w:sz w:val="20"/>
                <w:szCs w:val="20"/>
                <w:lang w:val="en-GB"/>
              </w:rPr>
              <w:t>82 (5.3)</w:t>
            </w:r>
          </w:p>
        </w:tc>
        <w:tc>
          <w:tcPr>
            <w:tcW w:w="1204" w:type="dxa"/>
          </w:tcPr>
          <w:p w14:paraId="72598FE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70F3B2B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501C101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82 (11.1)</w:t>
            </w:r>
          </w:p>
        </w:tc>
      </w:tr>
      <w:tr w:rsidR="005D5FE7" w:rsidRPr="00BD1C2C" w14:paraId="236F59AF" w14:textId="77777777" w:rsidTr="0013066A">
        <w:trPr>
          <w:trHeight w:val="240"/>
        </w:trPr>
        <w:tc>
          <w:tcPr>
            <w:tcW w:w="4224" w:type="dxa"/>
            <w:noWrap/>
          </w:tcPr>
          <w:p w14:paraId="680108C4" w14:textId="77777777" w:rsidR="005D5FE7" w:rsidRPr="00BD1C2C" w:rsidRDefault="005D5FE7" w:rsidP="0013066A">
            <w:pPr>
              <w:ind w:left="1276"/>
              <w:rPr>
                <w:sz w:val="20"/>
                <w:szCs w:val="20"/>
                <w:lang w:val="en-GB"/>
              </w:rPr>
            </w:pPr>
            <w:r w:rsidRPr="00BD1C2C">
              <w:rPr>
                <w:sz w:val="20"/>
                <w:szCs w:val="20"/>
                <w:lang w:val="en-GB"/>
              </w:rPr>
              <w:t>Next Stent (Boston Scientific)</w:t>
            </w:r>
          </w:p>
        </w:tc>
        <w:tc>
          <w:tcPr>
            <w:tcW w:w="1203" w:type="dxa"/>
          </w:tcPr>
          <w:p w14:paraId="0ABA3D12" w14:textId="77777777" w:rsidR="005D5FE7" w:rsidRPr="00BD1C2C" w:rsidRDefault="005D5FE7" w:rsidP="0013066A">
            <w:pPr>
              <w:jc w:val="center"/>
              <w:rPr>
                <w:color w:val="000000"/>
                <w:sz w:val="20"/>
                <w:szCs w:val="20"/>
                <w:lang w:val="en-GB"/>
              </w:rPr>
            </w:pPr>
            <w:r w:rsidRPr="00BD1C2C">
              <w:rPr>
                <w:color w:val="000000"/>
                <w:sz w:val="20"/>
                <w:szCs w:val="20"/>
                <w:lang w:val="en-GB"/>
              </w:rPr>
              <w:t>3 (0.2)</w:t>
            </w:r>
          </w:p>
        </w:tc>
        <w:tc>
          <w:tcPr>
            <w:tcW w:w="1204" w:type="dxa"/>
          </w:tcPr>
          <w:p w14:paraId="25C5844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2571509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072EA4A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 (0.4)</w:t>
            </w:r>
          </w:p>
        </w:tc>
      </w:tr>
      <w:tr w:rsidR="005D5FE7" w:rsidRPr="00BD1C2C" w14:paraId="6F554E14" w14:textId="77777777" w:rsidTr="0013066A">
        <w:trPr>
          <w:trHeight w:val="240"/>
        </w:trPr>
        <w:tc>
          <w:tcPr>
            <w:tcW w:w="4224" w:type="dxa"/>
            <w:noWrap/>
          </w:tcPr>
          <w:p w14:paraId="01D05F34" w14:textId="77777777" w:rsidR="005D5FE7" w:rsidRPr="00BD1C2C" w:rsidRDefault="005D5FE7" w:rsidP="0013066A">
            <w:pPr>
              <w:ind w:left="1276"/>
              <w:rPr>
                <w:sz w:val="20"/>
                <w:szCs w:val="20"/>
                <w:lang w:val="en-GB"/>
              </w:rPr>
            </w:pPr>
            <w:r w:rsidRPr="00BD1C2C">
              <w:rPr>
                <w:sz w:val="20"/>
                <w:szCs w:val="20"/>
                <w:lang w:val="en-GB"/>
              </w:rPr>
              <w:t>Exponent (Medtronic)</w:t>
            </w:r>
          </w:p>
        </w:tc>
        <w:tc>
          <w:tcPr>
            <w:tcW w:w="1203" w:type="dxa"/>
          </w:tcPr>
          <w:p w14:paraId="31E0EC17" w14:textId="77777777" w:rsidR="005D5FE7" w:rsidRPr="00BD1C2C" w:rsidRDefault="005D5FE7" w:rsidP="0013066A">
            <w:pPr>
              <w:jc w:val="center"/>
              <w:rPr>
                <w:color w:val="000000"/>
                <w:sz w:val="20"/>
                <w:szCs w:val="20"/>
                <w:lang w:val="en-GB"/>
              </w:rPr>
            </w:pPr>
            <w:r w:rsidRPr="00BD1C2C">
              <w:rPr>
                <w:color w:val="000000"/>
                <w:sz w:val="20"/>
                <w:szCs w:val="20"/>
                <w:lang w:val="en-GB"/>
              </w:rPr>
              <w:t>3 (0.2)</w:t>
            </w:r>
          </w:p>
        </w:tc>
        <w:tc>
          <w:tcPr>
            <w:tcW w:w="1204" w:type="dxa"/>
          </w:tcPr>
          <w:p w14:paraId="1CCDE98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2285A3B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7BE73125"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 (0.4)</w:t>
            </w:r>
          </w:p>
        </w:tc>
      </w:tr>
      <w:tr w:rsidR="005D5FE7" w:rsidRPr="00BD1C2C" w14:paraId="291AC1F4" w14:textId="77777777" w:rsidTr="0013066A">
        <w:trPr>
          <w:trHeight w:val="240"/>
        </w:trPr>
        <w:tc>
          <w:tcPr>
            <w:tcW w:w="4224" w:type="dxa"/>
            <w:noWrap/>
          </w:tcPr>
          <w:p w14:paraId="36A135D9" w14:textId="77777777" w:rsidR="005D5FE7" w:rsidRPr="00BD1C2C" w:rsidRDefault="005D5FE7" w:rsidP="0013066A">
            <w:pPr>
              <w:ind w:left="1276"/>
              <w:rPr>
                <w:color w:val="000000"/>
                <w:sz w:val="20"/>
                <w:szCs w:val="20"/>
                <w:lang w:val="en-GB"/>
              </w:rPr>
            </w:pPr>
            <w:proofErr w:type="spellStart"/>
            <w:r w:rsidRPr="00BD1C2C">
              <w:rPr>
                <w:color w:val="000000"/>
                <w:sz w:val="20"/>
                <w:szCs w:val="20"/>
                <w:lang w:val="en-GB"/>
              </w:rPr>
              <w:t>Zilver</w:t>
            </w:r>
            <w:proofErr w:type="spellEnd"/>
            <w:r w:rsidRPr="00BD1C2C">
              <w:rPr>
                <w:color w:val="000000"/>
                <w:sz w:val="20"/>
                <w:szCs w:val="20"/>
                <w:lang w:val="en-GB"/>
              </w:rPr>
              <w:t xml:space="preserve"> (Cook Medical)</w:t>
            </w:r>
          </w:p>
        </w:tc>
        <w:tc>
          <w:tcPr>
            <w:tcW w:w="1203" w:type="dxa"/>
          </w:tcPr>
          <w:p w14:paraId="619BA4EA" w14:textId="77777777" w:rsidR="005D5FE7" w:rsidRPr="00BD1C2C" w:rsidRDefault="005D5FE7" w:rsidP="0013066A">
            <w:pPr>
              <w:jc w:val="center"/>
              <w:rPr>
                <w:color w:val="000000"/>
                <w:sz w:val="20"/>
                <w:szCs w:val="20"/>
                <w:lang w:val="en-GB"/>
              </w:rPr>
            </w:pPr>
            <w:r w:rsidRPr="00BD1C2C">
              <w:rPr>
                <w:color w:val="000000"/>
                <w:sz w:val="20"/>
                <w:szCs w:val="20"/>
                <w:lang w:val="en-GB"/>
              </w:rPr>
              <w:t>5 (0.3)</w:t>
            </w:r>
          </w:p>
        </w:tc>
        <w:tc>
          <w:tcPr>
            <w:tcW w:w="1204" w:type="dxa"/>
          </w:tcPr>
          <w:p w14:paraId="2B12921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 (2.0)</w:t>
            </w:r>
          </w:p>
        </w:tc>
        <w:tc>
          <w:tcPr>
            <w:tcW w:w="1204" w:type="dxa"/>
          </w:tcPr>
          <w:p w14:paraId="027BDB45"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6497A82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r>
      <w:tr w:rsidR="005D5FE7" w:rsidRPr="00BD1C2C" w14:paraId="29459B87" w14:textId="77777777" w:rsidTr="0013066A">
        <w:trPr>
          <w:trHeight w:val="240"/>
        </w:trPr>
        <w:tc>
          <w:tcPr>
            <w:tcW w:w="4224" w:type="dxa"/>
            <w:noWrap/>
          </w:tcPr>
          <w:p w14:paraId="028F79B2" w14:textId="77777777" w:rsidR="005D5FE7" w:rsidRPr="00BD1C2C" w:rsidRDefault="005D5FE7" w:rsidP="0013066A">
            <w:pPr>
              <w:ind w:left="1276"/>
              <w:rPr>
                <w:sz w:val="20"/>
                <w:szCs w:val="20"/>
                <w:lang w:val="fr-CH"/>
              </w:rPr>
            </w:pPr>
            <w:r w:rsidRPr="00BD1C2C">
              <w:rPr>
                <w:sz w:val="20"/>
                <w:szCs w:val="20"/>
                <w:lang w:val="fr-CH"/>
              </w:rPr>
              <w:t>S.M.A.R.T. (</w:t>
            </w:r>
            <w:proofErr w:type="spellStart"/>
            <w:r w:rsidRPr="00BD1C2C">
              <w:rPr>
                <w:sz w:val="20"/>
                <w:szCs w:val="20"/>
                <w:lang w:val="fr-CH"/>
              </w:rPr>
              <w:t>Cordis</w:t>
            </w:r>
            <w:proofErr w:type="spellEnd"/>
            <w:r w:rsidRPr="00BD1C2C">
              <w:rPr>
                <w:sz w:val="20"/>
                <w:szCs w:val="20"/>
                <w:lang w:val="fr-CH"/>
              </w:rPr>
              <w:t>)</w:t>
            </w:r>
          </w:p>
        </w:tc>
        <w:tc>
          <w:tcPr>
            <w:tcW w:w="1203" w:type="dxa"/>
          </w:tcPr>
          <w:p w14:paraId="553C6327" w14:textId="77777777" w:rsidR="005D5FE7" w:rsidRPr="00BD1C2C" w:rsidRDefault="005D5FE7" w:rsidP="0013066A">
            <w:pPr>
              <w:jc w:val="center"/>
              <w:rPr>
                <w:color w:val="000000"/>
                <w:sz w:val="20"/>
                <w:szCs w:val="20"/>
                <w:lang w:val="en-GB"/>
              </w:rPr>
            </w:pPr>
            <w:r w:rsidRPr="00BD1C2C">
              <w:rPr>
                <w:color w:val="000000"/>
                <w:sz w:val="20"/>
                <w:szCs w:val="20"/>
                <w:lang w:val="en-GB"/>
              </w:rPr>
              <w:t>7 (0.4)</w:t>
            </w:r>
          </w:p>
        </w:tc>
        <w:tc>
          <w:tcPr>
            <w:tcW w:w="1204" w:type="dxa"/>
          </w:tcPr>
          <w:p w14:paraId="08B49F9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145A6AB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6BBC138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 (0.9)</w:t>
            </w:r>
          </w:p>
        </w:tc>
      </w:tr>
      <w:tr w:rsidR="005D5FE7" w:rsidRPr="00BD1C2C" w14:paraId="02E33D98" w14:textId="77777777" w:rsidTr="0013066A">
        <w:trPr>
          <w:trHeight w:val="240"/>
        </w:trPr>
        <w:tc>
          <w:tcPr>
            <w:tcW w:w="4224" w:type="dxa"/>
            <w:noWrap/>
          </w:tcPr>
          <w:p w14:paraId="6E6C4529" w14:textId="77777777" w:rsidR="005D5FE7" w:rsidRPr="00BD1C2C" w:rsidRDefault="005D5FE7" w:rsidP="0013066A">
            <w:pPr>
              <w:ind w:left="709"/>
              <w:rPr>
                <w:sz w:val="20"/>
                <w:szCs w:val="20"/>
                <w:lang w:val="en-GB"/>
              </w:rPr>
            </w:pPr>
            <w:r w:rsidRPr="00BD1C2C">
              <w:rPr>
                <w:color w:val="000000"/>
                <w:sz w:val="20"/>
                <w:szCs w:val="20"/>
                <w:lang w:val="en-GB"/>
              </w:rPr>
              <w:t>Closed-cell</w:t>
            </w:r>
          </w:p>
        </w:tc>
        <w:tc>
          <w:tcPr>
            <w:tcW w:w="1203" w:type="dxa"/>
          </w:tcPr>
          <w:p w14:paraId="4AA61BCC" w14:textId="77777777" w:rsidR="005D5FE7" w:rsidRPr="00BD1C2C" w:rsidRDefault="005D5FE7" w:rsidP="0013066A">
            <w:pPr>
              <w:jc w:val="center"/>
              <w:rPr>
                <w:color w:val="000000"/>
                <w:sz w:val="20"/>
                <w:szCs w:val="20"/>
                <w:lang w:val="en-GB"/>
              </w:rPr>
            </w:pPr>
            <w:r w:rsidRPr="00BD1C2C">
              <w:rPr>
                <w:color w:val="000000"/>
                <w:sz w:val="20"/>
                <w:szCs w:val="20"/>
                <w:lang w:val="en-GB"/>
              </w:rPr>
              <w:t>962 (61.8)</w:t>
            </w:r>
          </w:p>
        </w:tc>
        <w:tc>
          <w:tcPr>
            <w:tcW w:w="1204" w:type="dxa"/>
          </w:tcPr>
          <w:p w14:paraId="61853C25"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145 (58.9)</w:t>
            </w:r>
          </w:p>
        </w:tc>
        <w:tc>
          <w:tcPr>
            <w:tcW w:w="1204" w:type="dxa"/>
          </w:tcPr>
          <w:p w14:paraId="4F614BE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446 (77.8)</w:t>
            </w:r>
          </w:p>
        </w:tc>
        <w:tc>
          <w:tcPr>
            <w:tcW w:w="1204" w:type="dxa"/>
          </w:tcPr>
          <w:p w14:paraId="62A8DAE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371 (50.3)</w:t>
            </w:r>
          </w:p>
        </w:tc>
      </w:tr>
      <w:tr w:rsidR="005D5FE7" w:rsidRPr="00BD1C2C" w14:paraId="731E5B2E" w14:textId="77777777" w:rsidTr="0013066A">
        <w:trPr>
          <w:trHeight w:val="240"/>
        </w:trPr>
        <w:tc>
          <w:tcPr>
            <w:tcW w:w="4224" w:type="dxa"/>
            <w:noWrap/>
          </w:tcPr>
          <w:p w14:paraId="62BEA9FD" w14:textId="77777777" w:rsidR="005D5FE7" w:rsidRPr="00BD1C2C" w:rsidRDefault="005D5FE7" w:rsidP="0013066A">
            <w:pPr>
              <w:ind w:left="1276"/>
              <w:rPr>
                <w:sz w:val="20"/>
                <w:szCs w:val="20"/>
                <w:lang w:val="en-GB"/>
              </w:rPr>
            </w:pPr>
            <w:r w:rsidRPr="00BD1C2C">
              <w:rPr>
                <w:sz w:val="20"/>
                <w:szCs w:val="20"/>
                <w:lang w:val="en-GB"/>
              </w:rPr>
              <w:t xml:space="preserve">Carotid </w:t>
            </w:r>
            <w:proofErr w:type="spellStart"/>
            <w:r w:rsidRPr="00BD1C2C">
              <w:rPr>
                <w:sz w:val="20"/>
                <w:szCs w:val="20"/>
                <w:lang w:val="en-GB"/>
              </w:rPr>
              <w:t>Wallstent</w:t>
            </w:r>
            <w:proofErr w:type="spellEnd"/>
            <w:r w:rsidRPr="00BD1C2C">
              <w:rPr>
                <w:sz w:val="20"/>
                <w:szCs w:val="20"/>
                <w:lang w:val="en-GB"/>
              </w:rPr>
              <w:t xml:space="preserve"> (Boston Scientific)</w:t>
            </w:r>
          </w:p>
        </w:tc>
        <w:tc>
          <w:tcPr>
            <w:tcW w:w="1203" w:type="dxa"/>
          </w:tcPr>
          <w:p w14:paraId="478C2A7A" w14:textId="77777777" w:rsidR="005D5FE7" w:rsidRPr="00BD1C2C" w:rsidRDefault="005D5FE7" w:rsidP="0013066A">
            <w:pPr>
              <w:jc w:val="center"/>
              <w:rPr>
                <w:color w:val="000000"/>
                <w:sz w:val="20"/>
                <w:szCs w:val="20"/>
                <w:lang w:val="en-GB"/>
              </w:rPr>
            </w:pPr>
            <w:r w:rsidRPr="00BD1C2C">
              <w:rPr>
                <w:color w:val="000000"/>
                <w:sz w:val="20"/>
                <w:szCs w:val="20"/>
                <w:lang w:val="en-GB"/>
              </w:rPr>
              <w:t>899 (57.7)</w:t>
            </w:r>
          </w:p>
        </w:tc>
        <w:tc>
          <w:tcPr>
            <w:tcW w:w="1204" w:type="dxa"/>
          </w:tcPr>
          <w:p w14:paraId="6746537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145 (58.9)</w:t>
            </w:r>
          </w:p>
        </w:tc>
        <w:tc>
          <w:tcPr>
            <w:tcW w:w="1204" w:type="dxa"/>
          </w:tcPr>
          <w:p w14:paraId="0FFC4769"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436 (76.1)</w:t>
            </w:r>
          </w:p>
        </w:tc>
        <w:tc>
          <w:tcPr>
            <w:tcW w:w="1204" w:type="dxa"/>
          </w:tcPr>
          <w:p w14:paraId="5C4C387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318 (43.1)</w:t>
            </w:r>
          </w:p>
        </w:tc>
      </w:tr>
      <w:tr w:rsidR="005D5FE7" w:rsidRPr="00BD1C2C" w14:paraId="3B4DC6E2" w14:textId="77777777" w:rsidTr="0013066A">
        <w:trPr>
          <w:trHeight w:val="240"/>
        </w:trPr>
        <w:tc>
          <w:tcPr>
            <w:tcW w:w="4224" w:type="dxa"/>
            <w:noWrap/>
          </w:tcPr>
          <w:p w14:paraId="6E9CF7E2" w14:textId="77777777" w:rsidR="005D5FE7" w:rsidRPr="00BD1C2C" w:rsidRDefault="005D5FE7" w:rsidP="0013066A">
            <w:pPr>
              <w:ind w:left="1276"/>
              <w:rPr>
                <w:bCs/>
                <w:color w:val="000000"/>
                <w:sz w:val="20"/>
                <w:szCs w:val="20"/>
                <w:lang w:val="en-GB"/>
              </w:rPr>
            </w:pPr>
            <w:r w:rsidRPr="00BD1C2C">
              <w:rPr>
                <w:sz w:val="20"/>
                <w:szCs w:val="20"/>
                <w:lang w:val="en-GB"/>
              </w:rPr>
              <w:t>Xact (Abbott)</w:t>
            </w:r>
          </w:p>
        </w:tc>
        <w:tc>
          <w:tcPr>
            <w:tcW w:w="1203" w:type="dxa"/>
          </w:tcPr>
          <w:p w14:paraId="16DE82D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58 (3.7)</w:t>
            </w:r>
          </w:p>
        </w:tc>
        <w:tc>
          <w:tcPr>
            <w:tcW w:w="1204" w:type="dxa"/>
          </w:tcPr>
          <w:p w14:paraId="714DBDE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4E7A49C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10 (1.7)</w:t>
            </w:r>
          </w:p>
        </w:tc>
        <w:tc>
          <w:tcPr>
            <w:tcW w:w="1204" w:type="dxa"/>
          </w:tcPr>
          <w:p w14:paraId="446D972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48 (6.5)</w:t>
            </w:r>
          </w:p>
        </w:tc>
      </w:tr>
      <w:tr w:rsidR="005D5FE7" w:rsidRPr="00BD1C2C" w14:paraId="0574B477" w14:textId="77777777" w:rsidTr="0013066A">
        <w:trPr>
          <w:trHeight w:val="240"/>
        </w:trPr>
        <w:tc>
          <w:tcPr>
            <w:tcW w:w="4224" w:type="dxa"/>
            <w:noWrap/>
          </w:tcPr>
          <w:p w14:paraId="31D399A7" w14:textId="77777777" w:rsidR="005D5FE7" w:rsidRPr="00BD1C2C" w:rsidRDefault="005D5FE7" w:rsidP="0013066A">
            <w:pPr>
              <w:ind w:left="1276"/>
              <w:rPr>
                <w:bCs/>
                <w:color w:val="000000"/>
                <w:sz w:val="20"/>
                <w:szCs w:val="20"/>
                <w:lang w:val="en-GB"/>
              </w:rPr>
            </w:pPr>
            <w:proofErr w:type="spellStart"/>
            <w:r w:rsidRPr="00BD1C2C">
              <w:rPr>
                <w:sz w:val="20"/>
                <w:szCs w:val="20"/>
                <w:lang w:val="en-GB"/>
              </w:rPr>
              <w:t>Cristallo</w:t>
            </w:r>
            <w:proofErr w:type="spellEnd"/>
            <w:r w:rsidRPr="00BD1C2C">
              <w:rPr>
                <w:sz w:val="20"/>
                <w:szCs w:val="20"/>
                <w:lang w:val="en-GB"/>
              </w:rPr>
              <w:t xml:space="preserve"> </w:t>
            </w:r>
            <w:proofErr w:type="spellStart"/>
            <w:r w:rsidRPr="00BD1C2C">
              <w:rPr>
                <w:sz w:val="20"/>
                <w:szCs w:val="20"/>
                <w:lang w:val="en-GB"/>
              </w:rPr>
              <w:t>ideale</w:t>
            </w:r>
            <w:proofErr w:type="spellEnd"/>
            <w:r w:rsidRPr="00BD1C2C">
              <w:rPr>
                <w:sz w:val="20"/>
                <w:szCs w:val="20"/>
                <w:lang w:val="en-GB"/>
              </w:rPr>
              <w:t xml:space="preserve"> (</w:t>
            </w:r>
            <w:proofErr w:type="spellStart"/>
            <w:r w:rsidRPr="00BD1C2C">
              <w:rPr>
                <w:sz w:val="20"/>
                <w:szCs w:val="20"/>
                <w:lang w:val="en-GB"/>
              </w:rPr>
              <w:t>Invatec</w:t>
            </w:r>
            <w:proofErr w:type="spellEnd"/>
            <w:r w:rsidRPr="00BD1C2C">
              <w:rPr>
                <w:sz w:val="20"/>
                <w:szCs w:val="20"/>
                <w:lang w:val="en-GB"/>
              </w:rPr>
              <w:t>/Medtronic)</w:t>
            </w:r>
          </w:p>
        </w:tc>
        <w:tc>
          <w:tcPr>
            <w:tcW w:w="1203" w:type="dxa"/>
          </w:tcPr>
          <w:p w14:paraId="1DBA756F" w14:textId="77777777" w:rsidR="005D5FE7" w:rsidRPr="00BD1C2C" w:rsidRDefault="005D5FE7" w:rsidP="0013066A">
            <w:pPr>
              <w:jc w:val="center"/>
              <w:rPr>
                <w:bCs/>
                <w:color w:val="000000"/>
                <w:sz w:val="20"/>
                <w:szCs w:val="20"/>
                <w:lang w:val="en-GB"/>
              </w:rPr>
            </w:pPr>
            <w:r w:rsidRPr="00BD1C2C">
              <w:rPr>
                <w:color w:val="000000"/>
                <w:sz w:val="20"/>
                <w:szCs w:val="20"/>
                <w:lang w:val="en-GB"/>
              </w:rPr>
              <w:t>5 (0.3)</w:t>
            </w:r>
          </w:p>
        </w:tc>
        <w:tc>
          <w:tcPr>
            <w:tcW w:w="1204" w:type="dxa"/>
          </w:tcPr>
          <w:p w14:paraId="1537EE0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1DB3600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0578C6F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 (0.7)</w:t>
            </w:r>
          </w:p>
        </w:tc>
      </w:tr>
      <w:tr w:rsidR="005D5FE7" w:rsidRPr="00BD1C2C" w14:paraId="17A48A3A" w14:textId="77777777" w:rsidTr="0013066A">
        <w:trPr>
          <w:trHeight w:val="240"/>
        </w:trPr>
        <w:tc>
          <w:tcPr>
            <w:tcW w:w="4224" w:type="dxa"/>
            <w:noWrap/>
          </w:tcPr>
          <w:p w14:paraId="693BF373" w14:textId="77777777" w:rsidR="005D5FE7" w:rsidRPr="00BD1C2C" w:rsidRDefault="005D5FE7" w:rsidP="0013066A">
            <w:pPr>
              <w:rPr>
                <w:bCs/>
                <w:color w:val="000000"/>
                <w:sz w:val="20"/>
                <w:szCs w:val="20"/>
                <w:lang w:val="en-GB"/>
              </w:rPr>
            </w:pPr>
            <w:r w:rsidRPr="00BD1C2C">
              <w:rPr>
                <w:bCs/>
                <w:color w:val="000000"/>
                <w:sz w:val="20"/>
                <w:szCs w:val="20"/>
                <w:lang w:val="en-GB"/>
              </w:rPr>
              <w:t>Protection device used (n, %)</w:t>
            </w:r>
          </w:p>
        </w:tc>
        <w:tc>
          <w:tcPr>
            <w:tcW w:w="1203" w:type="dxa"/>
          </w:tcPr>
          <w:p w14:paraId="3BF761C9" w14:textId="77777777" w:rsidR="005D5FE7" w:rsidRPr="00BD1C2C" w:rsidRDefault="005D5FE7" w:rsidP="0013066A">
            <w:pPr>
              <w:jc w:val="center"/>
              <w:rPr>
                <w:bCs/>
                <w:color w:val="000000"/>
                <w:sz w:val="20"/>
                <w:szCs w:val="20"/>
                <w:lang w:val="en-GB"/>
              </w:rPr>
            </w:pPr>
            <w:r w:rsidRPr="00BD1C2C">
              <w:rPr>
                <w:bCs/>
                <w:color w:val="000000"/>
                <w:sz w:val="20"/>
                <w:szCs w:val="20"/>
                <w:lang w:val="en-GB"/>
              </w:rPr>
              <w:t>950 (61.0)</w:t>
            </w:r>
          </w:p>
        </w:tc>
        <w:tc>
          <w:tcPr>
            <w:tcW w:w="1204" w:type="dxa"/>
          </w:tcPr>
          <w:p w14:paraId="1C6F422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227 (92.3)</w:t>
            </w:r>
          </w:p>
        </w:tc>
        <w:tc>
          <w:tcPr>
            <w:tcW w:w="1204" w:type="dxa"/>
          </w:tcPr>
          <w:p w14:paraId="7349756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153 (26.7)</w:t>
            </w:r>
          </w:p>
        </w:tc>
        <w:tc>
          <w:tcPr>
            <w:tcW w:w="1204" w:type="dxa"/>
          </w:tcPr>
          <w:p w14:paraId="642918A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570 (77.2)</w:t>
            </w:r>
          </w:p>
        </w:tc>
      </w:tr>
      <w:tr w:rsidR="005D5FE7" w:rsidRPr="00BD1C2C" w14:paraId="3DC0DF17" w14:textId="77777777" w:rsidTr="0013066A">
        <w:trPr>
          <w:trHeight w:val="240"/>
        </w:trPr>
        <w:tc>
          <w:tcPr>
            <w:tcW w:w="4224" w:type="dxa"/>
            <w:noWrap/>
          </w:tcPr>
          <w:p w14:paraId="1E57A3B2" w14:textId="77777777" w:rsidR="005D5FE7" w:rsidRPr="00BD1C2C" w:rsidRDefault="005D5FE7" w:rsidP="0013066A">
            <w:pPr>
              <w:ind w:left="709"/>
              <w:rPr>
                <w:bCs/>
                <w:color w:val="000000"/>
                <w:sz w:val="20"/>
                <w:szCs w:val="20"/>
                <w:lang w:val="en-GB"/>
              </w:rPr>
            </w:pPr>
            <w:r w:rsidRPr="00BD1C2C">
              <w:rPr>
                <w:bCs/>
                <w:color w:val="000000"/>
                <w:sz w:val="20"/>
                <w:szCs w:val="20"/>
                <w:lang w:val="en-GB"/>
              </w:rPr>
              <w:t>Distal filters*</w:t>
            </w:r>
          </w:p>
        </w:tc>
        <w:tc>
          <w:tcPr>
            <w:tcW w:w="1203" w:type="dxa"/>
          </w:tcPr>
          <w:p w14:paraId="232FA83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827 (87.1)</w:t>
            </w:r>
          </w:p>
        </w:tc>
        <w:tc>
          <w:tcPr>
            <w:tcW w:w="1204" w:type="dxa"/>
          </w:tcPr>
          <w:p w14:paraId="7655744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160 (70.5)</w:t>
            </w:r>
          </w:p>
        </w:tc>
        <w:tc>
          <w:tcPr>
            <w:tcW w:w="1204" w:type="dxa"/>
          </w:tcPr>
          <w:p w14:paraId="475A1B3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133 (86.9)</w:t>
            </w:r>
          </w:p>
        </w:tc>
        <w:tc>
          <w:tcPr>
            <w:tcW w:w="1204" w:type="dxa"/>
          </w:tcPr>
          <w:p w14:paraId="66D2BD9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534 (93.7)</w:t>
            </w:r>
          </w:p>
        </w:tc>
      </w:tr>
      <w:tr w:rsidR="005D5FE7" w:rsidRPr="00BD1C2C" w14:paraId="25CA66ED" w14:textId="77777777" w:rsidTr="0013066A">
        <w:trPr>
          <w:trHeight w:val="240"/>
        </w:trPr>
        <w:tc>
          <w:tcPr>
            <w:tcW w:w="4224" w:type="dxa"/>
            <w:noWrap/>
          </w:tcPr>
          <w:p w14:paraId="2B3B51E5"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Accunet</w:t>
            </w:r>
            <w:proofErr w:type="spellEnd"/>
            <w:r w:rsidRPr="00BD1C2C">
              <w:rPr>
                <w:bCs/>
                <w:color w:val="000000"/>
                <w:sz w:val="20"/>
                <w:szCs w:val="20"/>
                <w:lang w:val="en-GB"/>
              </w:rPr>
              <w:t xml:space="preserve"> (Guidant)</w:t>
            </w:r>
          </w:p>
        </w:tc>
        <w:tc>
          <w:tcPr>
            <w:tcW w:w="1203" w:type="dxa"/>
          </w:tcPr>
          <w:p w14:paraId="1DC17E2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15 (1.6)</w:t>
            </w:r>
          </w:p>
        </w:tc>
        <w:tc>
          <w:tcPr>
            <w:tcW w:w="1204" w:type="dxa"/>
          </w:tcPr>
          <w:p w14:paraId="2312893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 (2.2)</w:t>
            </w:r>
          </w:p>
        </w:tc>
        <w:tc>
          <w:tcPr>
            <w:tcW w:w="1204" w:type="dxa"/>
          </w:tcPr>
          <w:p w14:paraId="19261EE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 (2.6)</w:t>
            </w:r>
          </w:p>
        </w:tc>
        <w:tc>
          <w:tcPr>
            <w:tcW w:w="1204" w:type="dxa"/>
          </w:tcPr>
          <w:p w14:paraId="667B5DC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 (1.1)</w:t>
            </w:r>
          </w:p>
        </w:tc>
      </w:tr>
      <w:tr w:rsidR="005D5FE7" w:rsidRPr="00BD1C2C" w14:paraId="7CE74B12" w14:textId="77777777" w:rsidTr="0013066A">
        <w:trPr>
          <w:trHeight w:val="240"/>
        </w:trPr>
        <w:tc>
          <w:tcPr>
            <w:tcW w:w="4224" w:type="dxa"/>
            <w:noWrap/>
          </w:tcPr>
          <w:p w14:paraId="60DB69B0"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Angioguard</w:t>
            </w:r>
            <w:proofErr w:type="spellEnd"/>
            <w:r w:rsidRPr="00BD1C2C">
              <w:rPr>
                <w:bCs/>
                <w:color w:val="000000"/>
                <w:sz w:val="20"/>
                <w:szCs w:val="20"/>
                <w:lang w:val="en-GB"/>
              </w:rPr>
              <w:t xml:space="preserve"> (Cordis)</w:t>
            </w:r>
          </w:p>
        </w:tc>
        <w:tc>
          <w:tcPr>
            <w:tcW w:w="1203" w:type="dxa"/>
          </w:tcPr>
          <w:p w14:paraId="5C726BB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124 (13.1)</w:t>
            </w:r>
          </w:p>
        </w:tc>
        <w:tc>
          <w:tcPr>
            <w:tcW w:w="1204" w:type="dxa"/>
          </w:tcPr>
          <w:p w14:paraId="2C9C139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21 (9.3)</w:t>
            </w:r>
          </w:p>
        </w:tc>
        <w:tc>
          <w:tcPr>
            <w:tcW w:w="1204" w:type="dxa"/>
          </w:tcPr>
          <w:p w14:paraId="7AA8713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16 (10.5)</w:t>
            </w:r>
          </w:p>
        </w:tc>
        <w:tc>
          <w:tcPr>
            <w:tcW w:w="1204" w:type="dxa"/>
          </w:tcPr>
          <w:p w14:paraId="2B0BC09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87 (15.3)</w:t>
            </w:r>
          </w:p>
        </w:tc>
      </w:tr>
      <w:tr w:rsidR="005D5FE7" w:rsidRPr="00BD1C2C" w14:paraId="5772F5AC" w14:textId="77777777" w:rsidTr="0013066A">
        <w:trPr>
          <w:trHeight w:val="240"/>
        </w:trPr>
        <w:tc>
          <w:tcPr>
            <w:tcW w:w="4224" w:type="dxa"/>
            <w:noWrap/>
          </w:tcPr>
          <w:p w14:paraId="5037EDEB"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Emboshield</w:t>
            </w:r>
            <w:proofErr w:type="spellEnd"/>
            <w:r w:rsidRPr="00BD1C2C">
              <w:rPr>
                <w:bCs/>
                <w:color w:val="000000"/>
                <w:sz w:val="20"/>
                <w:szCs w:val="20"/>
                <w:lang w:val="en-GB"/>
              </w:rPr>
              <w:t xml:space="preserve"> (Abbott)</w:t>
            </w:r>
          </w:p>
        </w:tc>
        <w:tc>
          <w:tcPr>
            <w:tcW w:w="1203" w:type="dxa"/>
          </w:tcPr>
          <w:p w14:paraId="0CAF3E4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131 (13.8)</w:t>
            </w:r>
          </w:p>
        </w:tc>
        <w:tc>
          <w:tcPr>
            <w:tcW w:w="1204" w:type="dxa"/>
          </w:tcPr>
          <w:p w14:paraId="39F588A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24 (10.6)</w:t>
            </w:r>
          </w:p>
        </w:tc>
        <w:tc>
          <w:tcPr>
            <w:tcW w:w="1204" w:type="dxa"/>
          </w:tcPr>
          <w:p w14:paraId="1B8769F9"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18 (11.8)</w:t>
            </w:r>
          </w:p>
        </w:tc>
        <w:tc>
          <w:tcPr>
            <w:tcW w:w="1204" w:type="dxa"/>
          </w:tcPr>
          <w:p w14:paraId="34F934F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89 (15.6)</w:t>
            </w:r>
          </w:p>
        </w:tc>
      </w:tr>
      <w:tr w:rsidR="005D5FE7" w:rsidRPr="00BD1C2C" w14:paraId="0CAA5AE9" w14:textId="77777777" w:rsidTr="0013066A">
        <w:trPr>
          <w:trHeight w:val="240"/>
        </w:trPr>
        <w:tc>
          <w:tcPr>
            <w:tcW w:w="4224" w:type="dxa"/>
            <w:noWrap/>
          </w:tcPr>
          <w:p w14:paraId="7047BBEC"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Filterwire</w:t>
            </w:r>
            <w:proofErr w:type="spellEnd"/>
            <w:r w:rsidRPr="00BD1C2C">
              <w:rPr>
                <w:bCs/>
                <w:color w:val="000000"/>
                <w:sz w:val="20"/>
                <w:szCs w:val="20"/>
                <w:lang w:val="en-GB"/>
              </w:rPr>
              <w:t xml:space="preserve"> (Boston Scientific)</w:t>
            </w:r>
          </w:p>
        </w:tc>
        <w:tc>
          <w:tcPr>
            <w:tcW w:w="1203" w:type="dxa"/>
          </w:tcPr>
          <w:p w14:paraId="0B0130E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374 (39.4)</w:t>
            </w:r>
          </w:p>
        </w:tc>
        <w:tc>
          <w:tcPr>
            <w:tcW w:w="1204" w:type="dxa"/>
          </w:tcPr>
          <w:p w14:paraId="47BE554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61 (26.9)</w:t>
            </w:r>
          </w:p>
        </w:tc>
        <w:tc>
          <w:tcPr>
            <w:tcW w:w="1204" w:type="dxa"/>
          </w:tcPr>
          <w:p w14:paraId="6BDB521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66 (43.1)</w:t>
            </w:r>
          </w:p>
        </w:tc>
        <w:tc>
          <w:tcPr>
            <w:tcW w:w="1204" w:type="dxa"/>
          </w:tcPr>
          <w:p w14:paraId="57E87A5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247 (43.3)</w:t>
            </w:r>
          </w:p>
        </w:tc>
      </w:tr>
      <w:tr w:rsidR="005D5FE7" w:rsidRPr="00BD1C2C" w14:paraId="2632E7B4" w14:textId="77777777" w:rsidTr="0013066A">
        <w:trPr>
          <w:trHeight w:val="240"/>
        </w:trPr>
        <w:tc>
          <w:tcPr>
            <w:tcW w:w="4224" w:type="dxa"/>
            <w:noWrap/>
          </w:tcPr>
          <w:p w14:paraId="7E6E676B" w14:textId="77777777" w:rsidR="005D5FE7" w:rsidRPr="00BD1C2C" w:rsidRDefault="005D5FE7" w:rsidP="0013066A">
            <w:pPr>
              <w:ind w:left="1276"/>
              <w:rPr>
                <w:bCs/>
                <w:color w:val="000000"/>
                <w:sz w:val="20"/>
                <w:szCs w:val="20"/>
                <w:lang w:val="en-GB"/>
              </w:rPr>
            </w:pPr>
            <w:r w:rsidRPr="00BD1C2C">
              <w:rPr>
                <w:bCs/>
                <w:color w:val="000000"/>
                <w:sz w:val="20"/>
                <w:szCs w:val="20"/>
                <w:lang w:val="en-GB"/>
              </w:rPr>
              <w:t>Interceptor (Medtronic)</w:t>
            </w:r>
          </w:p>
        </w:tc>
        <w:tc>
          <w:tcPr>
            <w:tcW w:w="1203" w:type="dxa"/>
          </w:tcPr>
          <w:p w14:paraId="6C827EB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 (0.1)</w:t>
            </w:r>
          </w:p>
        </w:tc>
        <w:tc>
          <w:tcPr>
            <w:tcW w:w="1204" w:type="dxa"/>
          </w:tcPr>
          <w:p w14:paraId="6543FC4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7C325335"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31AF1E8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 (0.2)</w:t>
            </w:r>
          </w:p>
        </w:tc>
      </w:tr>
      <w:tr w:rsidR="005D5FE7" w:rsidRPr="00BD1C2C" w14:paraId="2D51E0A6" w14:textId="77777777" w:rsidTr="0013066A">
        <w:trPr>
          <w:trHeight w:val="240"/>
        </w:trPr>
        <w:tc>
          <w:tcPr>
            <w:tcW w:w="4224" w:type="dxa"/>
            <w:noWrap/>
          </w:tcPr>
          <w:p w14:paraId="09EFA2E2"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Mednova</w:t>
            </w:r>
            <w:proofErr w:type="spellEnd"/>
            <w:r w:rsidRPr="00BD1C2C">
              <w:rPr>
                <w:bCs/>
                <w:color w:val="000000"/>
                <w:sz w:val="20"/>
                <w:szCs w:val="20"/>
                <w:lang w:val="en-GB"/>
              </w:rPr>
              <w:t xml:space="preserve"> </w:t>
            </w:r>
            <w:proofErr w:type="spellStart"/>
            <w:r w:rsidRPr="00BD1C2C">
              <w:rPr>
                <w:bCs/>
                <w:color w:val="000000"/>
                <w:sz w:val="20"/>
                <w:szCs w:val="20"/>
                <w:lang w:val="en-GB"/>
              </w:rPr>
              <w:t>Neuroshield</w:t>
            </w:r>
            <w:proofErr w:type="spellEnd"/>
            <w:r w:rsidRPr="00BD1C2C">
              <w:rPr>
                <w:bCs/>
                <w:color w:val="000000"/>
                <w:sz w:val="20"/>
                <w:szCs w:val="20"/>
                <w:lang w:val="en-GB"/>
              </w:rPr>
              <w:t xml:space="preserve"> (Abbott)</w:t>
            </w:r>
          </w:p>
        </w:tc>
        <w:tc>
          <w:tcPr>
            <w:tcW w:w="1203" w:type="dxa"/>
          </w:tcPr>
          <w:p w14:paraId="49487E4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29 (3.1)</w:t>
            </w:r>
          </w:p>
        </w:tc>
        <w:tc>
          <w:tcPr>
            <w:tcW w:w="1204" w:type="dxa"/>
          </w:tcPr>
          <w:p w14:paraId="7D227E1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2F4CB0B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 (3.3)</w:t>
            </w:r>
          </w:p>
        </w:tc>
        <w:tc>
          <w:tcPr>
            <w:tcW w:w="1204" w:type="dxa"/>
          </w:tcPr>
          <w:p w14:paraId="2C25484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24 (4.2)</w:t>
            </w:r>
          </w:p>
        </w:tc>
      </w:tr>
      <w:tr w:rsidR="005D5FE7" w:rsidRPr="00BD1C2C" w14:paraId="68897EFF" w14:textId="77777777" w:rsidTr="0013066A">
        <w:trPr>
          <w:trHeight w:val="240"/>
        </w:trPr>
        <w:tc>
          <w:tcPr>
            <w:tcW w:w="4224" w:type="dxa"/>
            <w:noWrap/>
          </w:tcPr>
          <w:p w14:paraId="3923FD86" w14:textId="77777777" w:rsidR="005D5FE7" w:rsidRPr="00BD1C2C" w:rsidRDefault="005D5FE7" w:rsidP="0013066A">
            <w:pPr>
              <w:ind w:left="1276"/>
              <w:rPr>
                <w:bCs/>
                <w:color w:val="000000"/>
                <w:sz w:val="20"/>
                <w:szCs w:val="20"/>
                <w:lang w:val="en-GB"/>
              </w:rPr>
            </w:pPr>
            <w:r w:rsidRPr="00BD1C2C">
              <w:rPr>
                <w:bCs/>
                <w:color w:val="000000"/>
                <w:sz w:val="20"/>
                <w:szCs w:val="20"/>
                <w:lang w:val="en-GB"/>
              </w:rPr>
              <w:t>Spider (EV3)</w:t>
            </w:r>
          </w:p>
        </w:tc>
        <w:tc>
          <w:tcPr>
            <w:tcW w:w="1203" w:type="dxa"/>
          </w:tcPr>
          <w:p w14:paraId="34C1C08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153 (16.1)</w:t>
            </w:r>
          </w:p>
        </w:tc>
        <w:tc>
          <w:tcPr>
            <w:tcW w:w="1204" w:type="dxa"/>
          </w:tcPr>
          <w:p w14:paraId="080362B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49 (21.6)</w:t>
            </w:r>
          </w:p>
        </w:tc>
        <w:tc>
          <w:tcPr>
            <w:tcW w:w="1204" w:type="dxa"/>
          </w:tcPr>
          <w:p w14:paraId="04EDF8DF"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24 (15.7)</w:t>
            </w:r>
          </w:p>
        </w:tc>
        <w:tc>
          <w:tcPr>
            <w:tcW w:w="1204" w:type="dxa"/>
          </w:tcPr>
          <w:p w14:paraId="38712AF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80 (14.0)</w:t>
            </w:r>
          </w:p>
        </w:tc>
      </w:tr>
      <w:tr w:rsidR="005D5FE7" w:rsidRPr="00BD1C2C" w14:paraId="071C3295" w14:textId="77777777" w:rsidTr="0013066A">
        <w:trPr>
          <w:trHeight w:val="240"/>
        </w:trPr>
        <w:tc>
          <w:tcPr>
            <w:tcW w:w="4224" w:type="dxa"/>
            <w:noWrap/>
          </w:tcPr>
          <w:p w14:paraId="7DD9EADA" w14:textId="77777777" w:rsidR="005D5FE7" w:rsidRPr="00BD1C2C" w:rsidRDefault="005D5FE7" w:rsidP="0013066A">
            <w:pPr>
              <w:ind w:left="709"/>
              <w:rPr>
                <w:bCs/>
                <w:color w:val="000000"/>
                <w:sz w:val="20"/>
                <w:szCs w:val="20"/>
                <w:lang w:val="en-GB"/>
              </w:rPr>
            </w:pPr>
            <w:r w:rsidRPr="00BD1C2C">
              <w:rPr>
                <w:bCs/>
                <w:color w:val="000000"/>
                <w:sz w:val="20"/>
                <w:szCs w:val="20"/>
                <w:lang w:val="en-GB"/>
              </w:rPr>
              <w:t>Distal occlusion*</w:t>
            </w:r>
          </w:p>
        </w:tc>
        <w:tc>
          <w:tcPr>
            <w:tcW w:w="1203" w:type="dxa"/>
          </w:tcPr>
          <w:p w14:paraId="2C13B4D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86 (9.1)</w:t>
            </w:r>
          </w:p>
        </w:tc>
        <w:tc>
          <w:tcPr>
            <w:tcW w:w="1204" w:type="dxa"/>
          </w:tcPr>
          <w:p w14:paraId="0B0C86E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67 (29.5)</w:t>
            </w:r>
          </w:p>
        </w:tc>
        <w:tc>
          <w:tcPr>
            <w:tcW w:w="1204" w:type="dxa"/>
          </w:tcPr>
          <w:p w14:paraId="7AA0F32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16 (10.5)</w:t>
            </w:r>
          </w:p>
        </w:tc>
        <w:tc>
          <w:tcPr>
            <w:tcW w:w="1204" w:type="dxa"/>
          </w:tcPr>
          <w:p w14:paraId="0B9C52A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 (0.5)</w:t>
            </w:r>
          </w:p>
        </w:tc>
      </w:tr>
      <w:tr w:rsidR="005D5FE7" w:rsidRPr="00BD1C2C" w14:paraId="20CD6770" w14:textId="77777777" w:rsidTr="0013066A">
        <w:trPr>
          <w:trHeight w:val="240"/>
        </w:trPr>
        <w:tc>
          <w:tcPr>
            <w:tcW w:w="4224" w:type="dxa"/>
            <w:noWrap/>
          </w:tcPr>
          <w:p w14:paraId="5FCD240A"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Percusurge</w:t>
            </w:r>
            <w:proofErr w:type="spellEnd"/>
            <w:r w:rsidRPr="00BD1C2C">
              <w:rPr>
                <w:bCs/>
                <w:color w:val="000000"/>
                <w:sz w:val="20"/>
                <w:szCs w:val="20"/>
                <w:lang w:val="en-GB"/>
              </w:rPr>
              <w:t xml:space="preserve"> (Medtronic)</w:t>
            </w:r>
          </w:p>
        </w:tc>
        <w:tc>
          <w:tcPr>
            <w:tcW w:w="1203" w:type="dxa"/>
          </w:tcPr>
          <w:p w14:paraId="5BEC906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86 (9.1)</w:t>
            </w:r>
          </w:p>
        </w:tc>
        <w:tc>
          <w:tcPr>
            <w:tcW w:w="1204" w:type="dxa"/>
          </w:tcPr>
          <w:p w14:paraId="1D6C105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67 (29.5)</w:t>
            </w:r>
          </w:p>
        </w:tc>
        <w:tc>
          <w:tcPr>
            <w:tcW w:w="1204" w:type="dxa"/>
          </w:tcPr>
          <w:p w14:paraId="55BC96ED"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16 (10.5)</w:t>
            </w:r>
          </w:p>
        </w:tc>
        <w:tc>
          <w:tcPr>
            <w:tcW w:w="1204" w:type="dxa"/>
          </w:tcPr>
          <w:p w14:paraId="3EF6E57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 (0.5)</w:t>
            </w:r>
          </w:p>
        </w:tc>
      </w:tr>
      <w:tr w:rsidR="005D5FE7" w:rsidRPr="00BD1C2C" w14:paraId="15470DC4" w14:textId="77777777" w:rsidTr="0013066A">
        <w:trPr>
          <w:trHeight w:val="240"/>
        </w:trPr>
        <w:tc>
          <w:tcPr>
            <w:tcW w:w="4224" w:type="dxa"/>
            <w:noWrap/>
          </w:tcPr>
          <w:p w14:paraId="0305F46E" w14:textId="77777777" w:rsidR="005D5FE7" w:rsidRPr="00BD1C2C" w:rsidRDefault="005D5FE7" w:rsidP="0013066A">
            <w:pPr>
              <w:ind w:left="709"/>
              <w:rPr>
                <w:bCs/>
                <w:color w:val="000000"/>
                <w:sz w:val="20"/>
                <w:szCs w:val="20"/>
                <w:lang w:val="en-GB"/>
              </w:rPr>
            </w:pPr>
            <w:r w:rsidRPr="00BD1C2C">
              <w:rPr>
                <w:bCs/>
                <w:color w:val="000000"/>
                <w:sz w:val="20"/>
                <w:szCs w:val="20"/>
                <w:lang w:val="en-GB"/>
              </w:rPr>
              <w:t>Flow reversal*</w:t>
            </w:r>
          </w:p>
        </w:tc>
        <w:tc>
          <w:tcPr>
            <w:tcW w:w="1203" w:type="dxa"/>
          </w:tcPr>
          <w:p w14:paraId="167ED10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34 (3.6)</w:t>
            </w:r>
          </w:p>
        </w:tc>
        <w:tc>
          <w:tcPr>
            <w:tcW w:w="1204" w:type="dxa"/>
          </w:tcPr>
          <w:p w14:paraId="1A26458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49451A50"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 (2.6)</w:t>
            </w:r>
          </w:p>
        </w:tc>
        <w:tc>
          <w:tcPr>
            <w:tcW w:w="1204" w:type="dxa"/>
          </w:tcPr>
          <w:p w14:paraId="7B0F4E9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30 (5.3)</w:t>
            </w:r>
          </w:p>
        </w:tc>
      </w:tr>
      <w:tr w:rsidR="005D5FE7" w:rsidRPr="00BD1C2C" w14:paraId="64D7C782" w14:textId="77777777" w:rsidTr="0013066A">
        <w:trPr>
          <w:trHeight w:val="240"/>
        </w:trPr>
        <w:tc>
          <w:tcPr>
            <w:tcW w:w="4224" w:type="dxa"/>
            <w:noWrap/>
          </w:tcPr>
          <w:p w14:paraId="61E7C4EF" w14:textId="77777777" w:rsidR="005D5FE7" w:rsidRPr="00BD1C2C" w:rsidRDefault="005D5FE7" w:rsidP="0013066A">
            <w:pPr>
              <w:ind w:left="1276"/>
              <w:rPr>
                <w:bCs/>
                <w:color w:val="000000"/>
                <w:sz w:val="20"/>
                <w:szCs w:val="20"/>
                <w:lang w:val="en-GB"/>
              </w:rPr>
            </w:pPr>
            <w:r w:rsidRPr="00BD1C2C">
              <w:rPr>
                <w:bCs/>
                <w:color w:val="000000"/>
                <w:sz w:val="20"/>
                <w:szCs w:val="20"/>
                <w:lang w:val="en-GB"/>
              </w:rPr>
              <w:t>Neuroprotection System (GORE)</w:t>
            </w:r>
          </w:p>
        </w:tc>
        <w:tc>
          <w:tcPr>
            <w:tcW w:w="1203" w:type="dxa"/>
          </w:tcPr>
          <w:p w14:paraId="137AEF8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22 (2.3)</w:t>
            </w:r>
          </w:p>
        </w:tc>
        <w:tc>
          <w:tcPr>
            <w:tcW w:w="1204" w:type="dxa"/>
          </w:tcPr>
          <w:p w14:paraId="6E43B45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3669F3C0"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19B8E28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22 (3.9)</w:t>
            </w:r>
          </w:p>
        </w:tc>
      </w:tr>
      <w:tr w:rsidR="005D5FE7" w:rsidRPr="00BD1C2C" w14:paraId="2A7536F2" w14:textId="77777777" w:rsidTr="0013066A">
        <w:trPr>
          <w:trHeight w:val="240"/>
        </w:trPr>
        <w:tc>
          <w:tcPr>
            <w:tcW w:w="4224" w:type="dxa"/>
            <w:noWrap/>
          </w:tcPr>
          <w:p w14:paraId="450DBE56" w14:textId="77777777" w:rsidR="005D5FE7" w:rsidRPr="00BD1C2C" w:rsidRDefault="005D5FE7" w:rsidP="0013066A">
            <w:pPr>
              <w:ind w:left="1276"/>
              <w:rPr>
                <w:bCs/>
                <w:color w:val="000000"/>
                <w:sz w:val="20"/>
                <w:szCs w:val="20"/>
                <w:lang w:val="en-GB"/>
              </w:rPr>
            </w:pPr>
            <w:proofErr w:type="spellStart"/>
            <w:proofErr w:type="gramStart"/>
            <w:r w:rsidRPr="00BD1C2C">
              <w:rPr>
                <w:bCs/>
                <w:color w:val="000000"/>
                <w:sz w:val="20"/>
                <w:szCs w:val="20"/>
                <w:lang w:val="en-GB"/>
              </w:rPr>
              <w:t>Mo.Ma</w:t>
            </w:r>
            <w:proofErr w:type="spellEnd"/>
            <w:proofErr w:type="gramEnd"/>
            <w:r w:rsidRPr="00BD1C2C">
              <w:rPr>
                <w:bCs/>
                <w:color w:val="000000"/>
                <w:sz w:val="20"/>
                <w:szCs w:val="20"/>
                <w:lang w:val="en-GB"/>
              </w:rPr>
              <w:t xml:space="preserve"> (</w:t>
            </w:r>
            <w:proofErr w:type="spellStart"/>
            <w:r w:rsidRPr="00BD1C2C">
              <w:rPr>
                <w:bCs/>
                <w:color w:val="000000"/>
                <w:sz w:val="20"/>
                <w:szCs w:val="20"/>
                <w:lang w:val="en-GB"/>
              </w:rPr>
              <w:t>Invatec</w:t>
            </w:r>
            <w:proofErr w:type="spellEnd"/>
            <w:r w:rsidRPr="00BD1C2C">
              <w:rPr>
                <w:bCs/>
                <w:color w:val="000000"/>
                <w:sz w:val="20"/>
                <w:szCs w:val="20"/>
                <w:lang w:val="en-GB"/>
              </w:rPr>
              <w:t>)</w:t>
            </w:r>
          </w:p>
        </w:tc>
        <w:tc>
          <w:tcPr>
            <w:tcW w:w="1203" w:type="dxa"/>
          </w:tcPr>
          <w:p w14:paraId="3B4BC99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 (0.5)</w:t>
            </w:r>
          </w:p>
        </w:tc>
        <w:tc>
          <w:tcPr>
            <w:tcW w:w="1204" w:type="dxa"/>
          </w:tcPr>
          <w:p w14:paraId="6581E30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42F035D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 (2.6)</w:t>
            </w:r>
          </w:p>
        </w:tc>
        <w:tc>
          <w:tcPr>
            <w:tcW w:w="1204" w:type="dxa"/>
          </w:tcPr>
          <w:p w14:paraId="144EB4A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 (0.2)</w:t>
            </w:r>
          </w:p>
        </w:tc>
      </w:tr>
      <w:tr w:rsidR="005D5FE7" w:rsidRPr="00BD1C2C" w14:paraId="3114FDE1" w14:textId="77777777" w:rsidTr="0013066A">
        <w:trPr>
          <w:trHeight w:val="240"/>
        </w:trPr>
        <w:tc>
          <w:tcPr>
            <w:tcW w:w="4224" w:type="dxa"/>
            <w:noWrap/>
          </w:tcPr>
          <w:p w14:paraId="6DC9B84E" w14:textId="77777777" w:rsidR="005D5FE7" w:rsidRPr="00BD1C2C" w:rsidRDefault="005D5FE7" w:rsidP="0013066A">
            <w:pPr>
              <w:ind w:left="1276"/>
              <w:rPr>
                <w:bCs/>
                <w:color w:val="000000"/>
                <w:sz w:val="20"/>
                <w:szCs w:val="20"/>
                <w:lang w:val="en-GB"/>
              </w:rPr>
            </w:pPr>
            <w:proofErr w:type="spellStart"/>
            <w:r w:rsidRPr="00BD1C2C">
              <w:rPr>
                <w:bCs/>
                <w:color w:val="000000"/>
                <w:sz w:val="20"/>
                <w:szCs w:val="20"/>
                <w:lang w:val="en-GB"/>
              </w:rPr>
              <w:t>Parodi</w:t>
            </w:r>
            <w:proofErr w:type="spellEnd"/>
            <w:r w:rsidRPr="00BD1C2C">
              <w:rPr>
                <w:bCs/>
                <w:color w:val="000000"/>
                <w:sz w:val="20"/>
                <w:szCs w:val="20"/>
                <w:lang w:val="en-GB"/>
              </w:rPr>
              <w:t xml:space="preserve"> AES (Arteria)</w:t>
            </w:r>
          </w:p>
        </w:tc>
        <w:tc>
          <w:tcPr>
            <w:tcW w:w="1203" w:type="dxa"/>
          </w:tcPr>
          <w:p w14:paraId="6EB072B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 (0.7)</w:t>
            </w:r>
          </w:p>
        </w:tc>
        <w:tc>
          <w:tcPr>
            <w:tcW w:w="1204" w:type="dxa"/>
          </w:tcPr>
          <w:p w14:paraId="022E6D7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4A29451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2C4D6B2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 (1.2)</w:t>
            </w:r>
          </w:p>
        </w:tc>
      </w:tr>
      <w:tr w:rsidR="005D5FE7" w:rsidRPr="00BD1C2C" w14:paraId="2F7771DE" w14:textId="77777777" w:rsidTr="0013066A">
        <w:trPr>
          <w:trHeight w:val="240"/>
        </w:trPr>
        <w:tc>
          <w:tcPr>
            <w:tcW w:w="4224" w:type="dxa"/>
            <w:noWrap/>
          </w:tcPr>
          <w:p w14:paraId="0D5C6F7E" w14:textId="77777777" w:rsidR="005D5FE7" w:rsidRPr="00BD1C2C" w:rsidRDefault="005D5FE7" w:rsidP="0013066A">
            <w:pPr>
              <w:ind w:left="708"/>
              <w:rPr>
                <w:bCs/>
                <w:color w:val="000000"/>
                <w:sz w:val="20"/>
                <w:szCs w:val="20"/>
                <w:lang w:val="en-GB"/>
              </w:rPr>
            </w:pPr>
            <w:r w:rsidRPr="00BD1C2C">
              <w:rPr>
                <w:bCs/>
                <w:color w:val="000000"/>
                <w:sz w:val="20"/>
                <w:szCs w:val="20"/>
                <w:lang w:val="en-GB"/>
              </w:rPr>
              <w:t>Type of device unknown*</w:t>
            </w:r>
          </w:p>
        </w:tc>
        <w:tc>
          <w:tcPr>
            <w:tcW w:w="1203" w:type="dxa"/>
          </w:tcPr>
          <w:p w14:paraId="2E2DE494"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w:t>
            </w:r>
          </w:p>
        </w:tc>
        <w:tc>
          <w:tcPr>
            <w:tcW w:w="1204" w:type="dxa"/>
          </w:tcPr>
          <w:p w14:paraId="31A6D743"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w:t>
            </w:r>
          </w:p>
        </w:tc>
        <w:tc>
          <w:tcPr>
            <w:tcW w:w="1204" w:type="dxa"/>
          </w:tcPr>
          <w:p w14:paraId="689CE27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w:t>
            </w:r>
          </w:p>
        </w:tc>
        <w:tc>
          <w:tcPr>
            <w:tcW w:w="1204" w:type="dxa"/>
          </w:tcPr>
          <w:p w14:paraId="65A96AEA" w14:textId="77777777" w:rsidR="005D5FE7" w:rsidRPr="00BD1C2C" w:rsidRDefault="005D5FE7" w:rsidP="0013066A">
            <w:pPr>
              <w:jc w:val="center"/>
              <w:rPr>
                <w:bCs/>
                <w:color w:val="000000"/>
                <w:sz w:val="20"/>
                <w:szCs w:val="20"/>
                <w:lang w:val="en-GB"/>
              </w:rPr>
            </w:pPr>
            <w:r w:rsidRPr="00BD1C2C">
              <w:rPr>
                <w:bCs/>
                <w:color w:val="000000"/>
                <w:sz w:val="20"/>
                <w:szCs w:val="20"/>
                <w:lang w:val="en-GB"/>
              </w:rPr>
              <w:t>3 (0.5)</w:t>
            </w:r>
          </w:p>
        </w:tc>
      </w:tr>
      <w:tr w:rsidR="005D5FE7" w:rsidRPr="00BD1C2C" w14:paraId="061843CA" w14:textId="77777777" w:rsidTr="0013066A">
        <w:trPr>
          <w:trHeight w:val="240"/>
        </w:trPr>
        <w:tc>
          <w:tcPr>
            <w:tcW w:w="4224" w:type="dxa"/>
            <w:noWrap/>
          </w:tcPr>
          <w:p w14:paraId="145829D8" w14:textId="77777777" w:rsidR="005D5FE7" w:rsidRPr="00BD1C2C" w:rsidRDefault="005D5FE7" w:rsidP="0013066A">
            <w:pPr>
              <w:rPr>
                <w:bCs/>
                <w:color w:val="000000"/>
                <w:sz w:val="20"/>
                <w:szCs w:val="20"/>
                <w:lang w:val="en-GB"/>
              </w:rPr>
            </w:pPr>
            <w:r w:rsidRPr="00BD1C2C">
              <w:rPr>
                <w:bCs/>
                <w:color w:val="000000"/>
                <w:sz w:val="20"/>
                <w:szCs w:val="20"/>
                <w:lang w:val="en-GB"/>
              </w:rPr>
              <w:t>Pre-dilatation performed (n, %)†</w:t>
            </w:r>
          </w:p>
        </w:tc>
        <w:tc>
          <w:tcPr>
            <w:tcW w:w="1203" w:type="dxa"/>
          </w:tcPr>
          <w:p w14:paraId="1549EEEE" w14:textId="77777777" w:rsidR="005D5FE7" w:rsidRPr="00BD1C2C" w:rsidRDefault="005D5FE7" w:rsidP="0013066A">
            <w:pPr>
              <w:jc w:val="center"/>
              <w:rPr>
                <w:bCs/>
                <w:color w:val="000000"/>
                <w:sz w:val="20"/>
                <w:szCs w:val="20"/>
                <w:lang w:val="en-GB"/>
              </w:rPr>
            </w:pPr>
            <w:r w:rsidRPr="00BD1C2C">
              <w:rPr>
                <w:bCs/>
                <w:color w:val="000000"/>
                <w:sz w:val="20"/>
                <w:szCs w:val="20"/>
                <w:lang w:val="en-GB"/>
              </w:rPr>
              <w:t>760 (48.8)</w:t>
            </w:r>
          </w:p>
        </w:tc>
        <w:tc>
          <w:tcPr>
            <w:tcW w:w="1204" w:type="dxa"/>
          </w:tcPr>
          <w:p w14:paraId="505FE16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41 (16.7)</w:t>
            </w:r>
          </w:p>
        </w:tc>
        <w:tc>
          <w:tcPr>
            <w:tcW w:w="1204" w:type="dxa"/>
          </w:tcPr>
          <w:p w14:paraId="0957D89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194 (33.9)</w:t>
            </w:r>
          </w:p>
        </w:tc>
        <w:tc>
          <w:tcPr>
            <w:tcW w:w="1204" w:type="dxa"/>
          </w:tcPr>
          <w:p w14:paraId="0A1C98A2"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525 (71.1)</w:t>
            </w:r>
          </w:p>
        </w:tc>
      </w:tr>
      <w:tr w:rsidR="005D5FE7" w:rsidRPr="00BD1C2C" w14:paraId="089B1671" w14:textId="77777777" w:rsidTr="0013066A">
        <w:trPr>
          <w:trHeight w:val="240"/>
        </w:trPr>
        <w:tc>
          <w:tcPr>
            <w:tcW w:w="4224" w:type="dxa"/>
            <w:noWrap/>
          </w:tcPr>
          <w:p w14:paraId="6BED540D" w14:textId="77777777" w:rsidR="005D5FE7" w:rsidRPr="00BD1C2C" w:rsidRDefault="005D5FE7" w:rsidP="0013066A">
            <w:pPr>
              <w:rPr>
                <w:bCs/>
                <w:color w:val="000000"/>
                <w:sz w:val="20"/>
                <w:szCs w:val="20"/>
                <w:lang w:val="en-GB"/>
              </w:rPr>
            </w:pPr>
            <w:r w:rsidRPr="00BD1C2C">
              <w:rPr>
                <w:bCs/>
                <w:color w:val="000000"/>
                <w:sz w:val="20"/>
                <w:szCs w:val="20"/>
                <w:lang w:val="en-GB"/>
              </w:rPr>
              <w:t>Post-dilatation performed (n, %)†</w:t>
            </w:r>
          </w:p>
        </w:tc>
        <w:tc>
          <w:tcPr>
            <w:tcW w:w="1203" w:type="dxa"/>
          </w:tcPr>
          <w:p w14:paraId="0ABE755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1177 (89.8)</w:t>
            </w:r>
          </w:p>
        </w:tc>
        <w:tc>
          <w:tcPr>
            <w:tcW w:w="1204" w:type="dxa"/>
          </w:tcPr>
          <w:p w14:paraId="47A8D67C" w14:textId="77777777" w:rsidR="005D5FE7" w:rsidRPr="00BD1C2C" w:rsidRDefault="005D5FE7" w:rsidP="0013066A">
            <w:pPr>
              <w:jc w:val="center"/>
              <w:rPr>
                <w:bCs/>
                <w:color w:val="000000"/>
                <w:sz w:val="20"/>
                <w:szCs w:val="20"/>
                <w:lang w:val="en-GB"/>
              </w:rPr>
            </w:pPr>
            <w:r w:rsidRPr="00BD1C2C">
              <w:rPr>
                <w:bCs/>
                <w:color w:val="000000"/>
                <w:sz w:val="20"/>
                <w:szCs w:val="20"/>
                <w:lang w:val="en-GB"/>
              </w:rPr>
              <w:t>0 (0.0)</w:t>
            </w:r>
          </w:p>
        </w:tc>
        <w:tc>
          <w:tcPr>
            <w:tcW w:w="1204" w:type="dxa"/>
          </w:tcPr>
          <w:p w14:paraId="33393641"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552 (96.3)</w:t>
            </w:r>
          </w:p>
        </w:tc>
        <w:tc>
          <w:tcPr>
            <w:tcW w:w="1204" w:type="dxa"/>
          </w:tcPr>
          <w:p w14:paraId="34E321F9"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625 (84.7)</w:t>
            </w:r>
          </w:p>
        </w:tc>
      </w:tr>
      <w:tr w:rsidR="005D5FE7" w:rsidRPr="00BD1C2C" w14:paraId="6026BBFD" w14:textId="77777777" w:rsidTr="0013066A">
        <w:trPr>
          <w:trHeight w:val="240"/>
        </w:trPr>
        <w:tc>
          <w:tcPr>
            <w:tcW w:w="4224" w:type="dxa"/>
            <w:noWrap/>
          </w:tcPr>
          <w:p w14:paraId="40B89D61" w14:textId="77777777" w:rsidR="005D5FE7" w:rsidRPr="00BD1C2C" w:rsidRDefault="005D5FE7" w:rsidP="0013066A">
            <w:pPr>
              <w:rPr>
                <w:bCs/>
                <w:color w:val="000000"/>
                <w:sz w:val="20"/>
                <w:szCs w:val="20"/>
                <w:lang w:val="en-GB"/>
              </w:rPr>
            </w:pPr>
            <w:r w:rsidRPr="00BD1C2C">
              <w:rPr>
                <w:bCs/>
                <w:color w:val="000000"/>
                <w:sz w:val="20"/>
                <w:szCs w:val="20"/>
                <w:lang w:val="en-GB"/>
              </w:rPr>
              <w:t>Double APT used (n, %)†</w:t>
            </w:r>
          </w:p>
        </w:tc>
        <w:tc>
          <w:tcPr>
            <w:tcW w:w="1203" w:type="dxa"/>
          </w:tcPr>
          <w:p w14:paraId="057A7227"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1357 (88.8)</w:t>
            </w:r>
          </w:p>
        </w:tc>
        <w:tc>
          <w:tcPr>
            <w:tcW w:w="1204" w:type="dxa"/>
          </w:tcPr>
          <w:p w14:paraId="4579E276" w14:textId="77777777" w:rsidR="005D5FE7" w:rsidRPr="00BD1C2C" w:rsidRDefault="005D5FE7" w:rsidP="0013066A">
            <w:pPr>
              <w:jc w:val="center"/>
              <w:rPr>
                <w:bCs/>
                <w:color w:val="000000"/>
                <w:sz w:val="20"/>
                <w:szCs w:val="20"/>
                <w:lang w:val="en-GB"/>
              </w:rPr>
            </w:pPr>
            <w:r w:rsidRPr="00BD1C2C">
              <w:rPr>
                <w:bCs/>
                <w:color w:val="000000"/>
                <w:sz w:val="20"/>
                <w:szCs w:val="20"/>
                <w:lang w:val="en-GB"/>
              </w:rPr>
              <w:t>191 (77.6)</w:t>
            </w:r>
          </w:p>
        </w:tc>
        <w:tc>
          <w:tcPr>
            <w:tcW w:w="1204" w:type="dxa"/>
          </w:tcPr>
          <w:p w14:paraId="6FF1ADB8" w14:textId="77777777" w:rsidR="005D5FE7" w:rsidRPr="00BD1C2C" w:rsidRDefault="005D5FE7" w:rsidP="0013066A">
            <w:pPr>
              <w:jc w:val="center"/>
              <w:rPr>
                <w:bCs/>
                <w:color w:val="000000"/>
                <w:sz w:val="20"/>
                <w:szCs w:val="20"/>
                <w:lang w:val="en-GB"/>
              </w:rPr>
            </w:pPr>
            <w:r w:rsidRPr="00BD1C2C">
              <w:rPr>
                <w:bCs/>
                <w:color w:val="000000"/>
                <w:sz w:val="20"/>
                <w:szCs w:val="20"/>
                <w:lang w:val="en-GB"/>
              </w:rPr>
              <w:t>546 (95.3)</w:t>
            </w:r>
          </w:p>
        </w:tc>
        <w:tc>
          <w:tcPr>
            <w:tcW w:w="1204" w:type="dxa"/>
          </w:tcPr>
          <w:p w14:paraId="25A2586B" w14:textId="77777777" w:rsidR="005D5FE7" w:rsidRPr="00BD1C2C" w:rsidRDefault="005D5FE7" w:rsidP="0013066A">
            <w:pPr>
              <w:jc w:val="center"/>
              <w:rPr>
                <w:bCs/>
                <w:color w:val="000000"/>
                <w:sz w:val="20"/>
                <w:szCs w:val="20"/>
                <w:lang w:val="en-GB"/>
              </w:rPr>
            </w:pPr>
            <w:r w:rsidRPr="00BD1C2C">
              <w:rPr>
                <w:bCs/>
                <w:color w:val="000000"/>
                <w:sz w:val="20"/>
                <w:szCs w:val="20"/>
                <w:lang w:val="en-GB"/>
              </w:rPr>
              <w:t>620 (87.0)</w:t>
            </w:r>
          </w:p>
        </w:tc>
      </w:tr>
    </w:tbl>
    <w:p w14:paraId="4906BED0" w14:textId="77777777" w:rsidR="005D5FE7" w:rsidRPr="00BD1C2C" w:rsidRDefault="005D5FE7" w:rsidP="005D5FE7">
      <w:pPr>
        <w:spacing w:before="240" w:line="480" w:lineRule="auto"/>
        <w:rPr>
          <w:lang w:val="en-GB"/>
        </w:rPr>
      </w:pPr>
      <w:r w:rsidRPr="00BD1C2C">
        <w:rPr>
          <w:color w:val="000000"/>
          <w:lang w:val="en-GB" w:eastAsia="de-CH"/>
        </w:rPr>
        <w:t xml:space="preserve">Legend: Patients with deployed stents and available data on stent type and protection device use are included. Data are n/N (%), unless otherwise </w:t>
      </w:r>
      <w:proofErr w:type="gramStart"/>
      <w:r w:rsidRPr="00BD1C2C">
        <w:rPr>
          <w:color w:val="000000"/>
          <w:lang w:val="en-GB" w:eastAsia="de-CH"/>
        </w:rPr>
        <w:t>indicated.*</w:t>
      </w:r>
      <w:proofErr w:type="gramEnd"/>
      <w:r w:rsidRPr="00BD1C2C">
        <w:rPr>
          <w:color w:val="000000"/>
          <w:lang w:val="en-GB" w:eastAsia="de-CH"/>
        </w:rPr>
        <w:t xml:space="preserve">Percentages of all protection devices. </w:t>
      </w:r>
      <w:r w:rsidRPr="00BD1C2C">
        <w:rPr>
          <w:bCs/>
          <w:color w:val="000000"/>
          <w:lang w:val="en-GB" w:eastAsia="de-CH"/>
        </w:rPr>
        <w:t>†</w:t>
      </w:r>
      <w:r w:rsidRPr="00BD1C2C">
        <w:rPr>
          <w:color w:val="000000"/>
          <w:lang w:val="en-GB" w:eastAsia="de-CH"/>
        </w:rPr>
        <w:t xml:space="preserve">Percentages exclude missing data; </w:t>
      </w:r>
      <w:r w:rsidRPr="00BD1C2C">
        <w:rPr>
          <w:lang w:val="en-GB"/>
        </w:rPr>
        <w:t>missing data were: pre-dilatation (n=1 patient), post-dilatation (n=246), antiplatelet therapy (n=29).</w:t>
      </w:r>
      <w:r w:rsidRPr="00BD1C2C">
        <w:rPr>
          <w:color w:val="000000"/>
          <w:lang w:val="en-GB" w:eastAsia="de-CH"/>
        </w:rPr>
        <w:t xml:space="preserve"> </w:t>
      </w:r>
    </w:p>
    <w:p w14:paraId="1CA7D350" w14:textId="77777777" w:rsidR="00251DFC" w:rsidRPr="00BD1C2C" w:rsidRDefault="00251DFC" w:rsidP="00C046C8">
      <w:pPr>
        <w:rPr>
          <w:sz w:val="20"/>
          <w:szCs w:val="20"/>
          <w:lang w:val="en-GB"/>
        </w:rPr>
      </w:pPr>
    </w:p>
    <w:p w14:paraId="6D6271C3" w14:textId="77777777" w:rsidR="00251DFC" w:rsidRPr="00BD1C2C" w:rsidRDefault="00251DFC" w:rsidP="00C046C8">
      <w:pPr>
        <w:rPr>
          <w:sz w:val="20"/>
          <w:szCs w:val="20"/>
          <w:lang w:val="en-GB"/>
        </w:rPr>
      </w:pPr>
    </w:p>
    <w:p w14:paraId="74B32D8A" w14:textId="77777777" w:rsidR="00251DFC" w:rsidRPr="00BD1C2C" w:rsidRDefault="00251DFC" w:rsidP="00C046C8">
      <w:pPr>
        <w:rPr>
          <w:sz w:val="20"/>
          <w:szCs w:val="20"/>
          <w:lang w:val="en-GB"/>
        </w:rPr>
      </w:pPr>
    </w:p>
    <w:p w14:paraId="18E6EFF6" w14:textId="77777777" w:rsidR="00251DFC" w:rsidRPr="00BD1C2C" w:rsidRDefault="00251DFC" w:rsidP="00C046C8">
      <w:pPr>
        <w:rPr>
          <w:sz w:val="20"/>
          <w:szCs w:val="20"/>
          <w:lang w:val="en-GB"/>
        </w:rPr>
      </w:pPr>
    </w:p>
    <w:p w14:paraId="6E906856" w14:textId="77777777" w:rsidR="00251DFC" w:rsidRPr="00BD1C2C" w:rsidRDefault="00251DFC" w:rsidP="00C046C8">
      <w:pPr>
        <w:rPr>
          <w:sz w:val="20"/>
          <w:szCs w:val="20"/>
          <w:lang w:val="en-GB"/>
        </w:rPr>
      </w:pPr>
    </w:p>
    <w:p w14:paraId="34FF9F62" w14:textId="77777777" w:rsidR="00251DFC" w:rsidRPr="00BD1C2C" w:rsidRDefault="00251DFC" w:rsidP="00C046C8">
      <w:pPr>
        <w:rPr>
          <w:sz w:val="20"/>
          <w:szCs w:val="20"/>
          <w:lang w:val="en-GB"/>
        </w:rPr>
      </w:pPr>
    </w:p>
    <w:p w14:paraId="144B37A0" w14:textId="217E902E" w:rsidR="002D625D" w:rsidRPr="00BD1C2C" w:rsidRDefault="002D625D" w:rsidP="002D625D">
      <w:pPr>
        <w:rPr>
          <w:b/>
          <w:lang w:val="en-US"/>
        </w:rPr>
      </w:pPr>
      <w:r w:rsidRPr="00BD1C2C">
        <w:rPr>
          <w:b/>
          <w:lang w:val="en-US"/>
        </w:rPr>
        <w:lastRenderedPageBreak/>
        <w:t xml:space="preserve">Supplementary table </w:t>
      </w:r>
      <w:r w:rsidR="00106F82" w:rsidRPr="00BD1C2C">
        <w:rPr>
          <w:b/>
          <w:lang w:val="en-US"/>
        </w:rPr>
        <w:t>3</w:t>
      </w:r>
      <w:r w:rsidRPr="00BD1C2C">
        <w:rPr>
          <w:b/>
          <w:lang w:val="en-US"/>
        </w:rPr>
        <w:t>: Risk of procedural stroke or death in the stenting versus endarterectomy groups at study centers according to the frequency of closed-cell stent use</w:t>
      </w:r>
    </w:p>
    <w:p w14:paraId="24A1A382" w14:textId="77777777" w:rsidR="002D625D" w:rsidRPr="00BD1C2C" w:rsidRDefault="002D625D" w:rsidP="002D625D">
      <w:pPr>
        <w:rPr>
          <w:rFonts w:cstheme="minorHAnsi"/>
          <w:lang w:val="en-US"/>
        </w:rPr>
      </w:pPr>
    </w:p>
    <w:tbl>
      <w:tblPr>
        <w:tblStyle w:val="Tabellenraster"/>
        <w:tblW w:w="9180" w:type="dxa"/>
        <w:tblLayout w:type="fixed"/>
        <w:tblLook w:val="04A0" w:firstRow="1" w:lastRow="0" w:firstColumn="1" w:lastColumn="0" w:noHBand="0" w:noVBand="1"/>
      </w:tblPr>
      <w:tblGrid>
        <w:gridCol w:w="2518"/>
        <w:gridCol w:w="1559"/>
        <w:gridCol w:w="1560"/>
        <w:gridCol w:w="2409"/>
        <w:gridCol w:w="1134"/>
      </w:tblGrid>
      <w:tr w:rsidR="002D625D" w:rsidRPr="00BD1C2C" w14:paraId="371894C8" w14:textId="77777777" w:rsidTr="0013066A">
        <w:tc>
          <w:tcPr>
            <w:tcW w:w="2518" w:type="dxa"/>
          </w:tcPr>
          <w:p w14:paraId="680A7669" w14:textId="77777777" w:rsidR="002D625D" w:rsidRPr="00BD1C2C" w:rsidRDefault="002D625D" w:rsidP="0013066A">
            <w:pPr>
              <w:tabs>
                <w:tab w:val="center" w:pos="816"/>
              </w:tabs>
              <w:jc w:val="both"/>
              <w:rPr>
                <w:sz w:val="20"/>
                <w:lang w:val="en-US"/>
              </w:rPr>
            </w:pPr>
            <w:r w:rsidRPr="00BD1C2C">
              <w:rPr>
                <w:sz w:val="20"/>
                <w:lang w:val="en-US"/>
              </w:rPr>
              <w:t>Frequency of closed-cell stent use at center</w:t>
            </w:r>
          </w:p>
        </w:tc>
        <w:tc>
          <w:tcPr>
            <w:tcW w:w="1559" w:type="dxa"/>
          </w:tcPr>
          <w:p w14:paraId="746D7F38" w14:textId="77777777" w:rsidR="002D625D" w:rsidRPr="00BD1C2C" w:rsidRDefault="002D625D" w:rsidP="0013066A">
            <w:pPr>
              <w:jc w:val="center"/>
              <w:rPr>
                <w:sz w:val="20"/>
              </w:rPr>
            </w:pPr>
            <w:r w:rsidRPr="00BD1C2C">
              <w:rPr>
                <w:sz w:val="20"/>
              </w:rPr>
              <w:t>CAS</w:t>
            </w:r>
          </w:p>
        </w:tc>
        <w:tc>
          <w:tcPr>
            <w:tcW w:w="1560" w:type="dxa"/>
          </w:tcPr>
          <w:p w14:paraId="27B688D2" w14:textId="77777777" w:rsidR="002D625D" w:rsidRPr="00BD1C2C" w:rsidRDefault="002D625D" w:rsidP="0013066A">
            <w:pPr>
              <w:jc w:val="center"/>
              <w:rPr>
                <w:sz w:val="20"/>
              </w:rPr>
            </w:pPr>
            <w:r w:rsidRPr="00BD1C2C">
              <w:rPr>
                <w:sz w:val="20"/>
              </w:rPr>
              <w:t>CEA</w:t>
            </w:r>
          </w:p>
        </w:tc>
        <w:tc>
          <w:tcPr>
            <w:tcW w:w="2409" w:type="dxa"/>
          </w:tcPr>
          <w:p w14:paraId="20ABB556" w14:textId="77777777" w:rsidR="002D625D" w:rsidRPr="00BD1C2C" w:rsidRDefault="002D625D" w:rsidP="0013066A">
            <w:pPr>
              <w:jc w:val="center"/>
              <w:rPr>
                <w:sz w:val="20"/>
                <w:lang w:val="fr-CH"/>
              </w:rPr>
            </w:pPr>
            <w:r w:rsidRPr="00BD1C2C">
              <w:rPr>
                <w:sz w:val="20"/>
                <w:lang w:val="fr-CH"/>
              </w:rPr>
              <w:t>RR for CAS versus CEA (95% CI)</w:t>
            </w:r>
          </w:p>
        </w:tc>
        <w:tc>
          <w:tcPr>
            <w:tcW w:w="1134" w:type="dxa"/>
          </w:tcPr>
          <w:p w14:paraId="76585DEF" w14:textId="77777777" w:rsidR="002D625D" w:rsidRPr="00BD1C2C" w:rsidRDefault="002D625D" w:rsidP="0013066A">
            <w:pPr>
              <w:jc w:val="center"/>
              <w:rPr>
                <w:sz w:val="20"/>
                <w:lang w:val="en-GB"/>
              </w:rPr>
            </w:pPr>
            <w:r w:rsidRPr="00BD1C2C">
              <w:rPr>
                <w:sz w:val="20"/>
                <w:lang w:val="en-GB"/>
              </w:rPr>
              <w:t>Interaction p-value for trend</w:t>
            </w:r>
          </w:p>
        </w:tc>
      </w:tr>
      <w:tr w:rsidR="002D625D" w:rsidRPr="00BD1C2C" w14:paraId="6A55444C" w14:textId="77777777" w:rsidTr="0013066A">
        <w:tc>
          <w:tcPr>
            <w:tcW w:w="2518" w:type="dxa"/>
          </w:tcPr>
          <w:p w14:paraId="45109958" w14:textId="77777777" w:rsidR="002D625D" w:rsidRPr="00BD1C2C" w:rsidRDefault="002D625D" w:rsidP="0013066A">
            <w:pPr>
              <w:rPr>
                <w:sz w:val="20"/>
                <w:lang w:val="en-GB"/>
              </w:rPr>
            </w:pPr>
          </w:p>
        </w:tc>
        <w:tc>
          <w:tcPr>
            <w:tcW w:w="1559" w:type="dxa"/>
          </w:tcPr>
          <w:p w14:paraId="28D792E5" w14:textId="77777777" w:rsidR="002D625D" w:rsidRPr="00BD1C2C" w:rsidRDefault="002D625D" w:rsidP="0013066A">
            <w:pPr>
              <w:jc w:val="center"/>
              <w:rPr>
                <w:sz w:val="20"/>
              </w:rPr>
            </w:pPr>
            <w:r w:rsidRPr="00BD1C2C">
              <w:rPr>
                <w:sz w:val="20"/>
              </w:rPr>
              <w:t xml:space="preserve">Events / </w:t>
            </w:r>
            <w:proofErr w:type="spellStart"/>
            <w:r w:rsidRPr="00BD1C2C">
              <w:rPr>
                <w:sz w:val="20"/>
              </w:rPr>
              <w:t>patients</w:t>
            </w:r>
            <w:proofErr w:type="spellEnd"/>
          </w:p>
          <w:p w14:paraId="712B316E" w14:textId="77777777" w:rsidR="002D625D" w:rsidRPr="00BD1C2C" w:rsidRDefault="002D625D" w:rsidP="0013066A">
            <w:pPr>
              <w:jc w:val="center"/>
              <w:rPr>
                <w:sz w:val="20"/>
              </w:rPr>
            </w:pPr>
          </w:p>
        </w:tc>
        <w:tc>
          <w:tcPr>
            <w:tcW w:w="1560" w:type="dxa"/>
          </w:tcPr>
          <w:p w14:paraId="21144BCA" w14:textId="77777777" w:rsidR="002D625D" w:rsidRPr="00BD1C2C" w:rsidRDefault="002D625D" w:rsidP="0013066A">
            <w:pPr>
              <w:jc w:val="center"/>
              <w:rPr>
                <w:sz w:val="20"/>
              </w:rPr>
            </w:pPr>
            <w:r w:rsidRPr="00BD1C2C">
              <w:rPr>
                <w:sz w:val="20"/>
              </w:rPr>
              <w:t xml:space="preserve">Events / </w:t>
            </w:r>
            <w:proofErr w:type="spellStart"/>
            <w:r w:rsidRPr="00BD1C2C">
              <w:rPr>
                <w:sz w:val="20"/>
              </w:rPr>
              <w:t>patients</w:t>
            </w:r>
            <w:proofErr w:type="spellEnd"/>
          </w:p>
        </w:tc>
        <w:tc>
          <w:tcPr>
            <w:tcW w:w="2409" w:type="dxa"/>
          </w:tcPr>
          <w:p w14:paraId="22AC3D8E" w14:textId="77777777" w:rsidR="002D625D" w:rsidRPr="00BD1C2C" w:rsidRDefault="002D625D" w:rsidP="0013066A">
            <w:pPr>
              <w:jc w:val="center"/>
              <w:rPr>
                <w:sz w:val="20"/>
              </w:rPr>
            </w:pPr>
          </w:p>
        </w:tc>
        <w:tc>
          <w:tcPr>
            <w:tcW w:w="1134" w:type="dxa"/>
          </w:tcPr>
          <w:p w14:paraId="44C23AC4" w14:textId="77777777" w:rsidR="002D625D" w:rsidRPr="00BD1C2C" w:rsidRDefault="002D625D" w:rsidP="0013066A">
            <w:pPr>
              <w:jc w:val="center"/>
              <w:rPr>
                <w:sz w:val="20"/>
              </w:rPr>
            </w:pPr>
          </w:p>
        </w:tc>
      </w:tr>
      <w:tr w:rsidR="002D625D" w:rsidRPr="00BD1C2C" w14:paraId="568BBE6B" w14:textId="77777777" w:rsidTr="0013066A">
        <w:trPr>
          <w:trHeight w:val="340"/>
        </w:trPr>
        <w:tc>
          <w:tcPr>
            <w:tcW w:w="2518" w:type="dxa"/>
          </w:tcPr>
          <w:p w14:paraId="642A024E" w14:textId="77777777" w:rsidR="002D625D" w:rsidRPr="00BD1C2C" w:rsidRDefault="002D625D" w:rsidP="0013066A">
            <w:pPr>
              <w:rPr>
                <w:sz w:val="20"/>
              </w:rPr>
            </w:pPr>
            <w:r w:rsidRPr="00BD1C2C">
              <w:rPr>
                <w:sz w:val="20"/>
              </w:rPr>
              <w:t xml:space="preserve">&gt;80% </w:t>
            </w:r>
            <w:proofErr w:type="spellStart"/>
            <w:r w:rsidRPr="00BD1C2C">
              <w:rPr>
                <w:sz w:val="20"/>
              </w:rPr>
              <w:t>closed-cell</w:t>
            </w:r>
            <w:proofErr w:type="spellEnd"/>
            <w:r w:rsidRPr="00BD1C2C">
              <w:rPr>
                <w:sz w:val="20"/>
              </w:rPr>
              <w:t xml:space="preserve"> </w:t>
            </w:r>
            <w:proofErr w:type="spellStart"/>
            <w:r w:rsidRPr="00BD1C2C">
              <w:rPr>
                <w:sz w:val="20"/>
              </w:rPr>
              <w:t>stents</w:t>
            </w:r>
            <w:proofErr w:type="spellEnd"/>
          </w:p>
        </w:tc>
        <w:tc>
          <w:tcPr>
            <w:tcW w:w="1559" w:type="dxa"/>
          </w:tcPr>
          <w:p w14:paraId="3AA75D5A" w14:textId="77777777" w:rsidR="002D625D" w:rsidRPr="00BD1C2C" w:rsidRDefault="002D625D" w:rsidP="0013066A">
            <w:pPr>
              <w:jc w:val="center"/>
              <w:rPr>
                <w:sz w:val="20"/>
              </w:rPr>
            </w:pPr>
            <w:r w:rsidRPr="00BD1C2C">
              <w:rPr>
                <w:sz w:val="20"/>
              </w:rPr>
              <w:t>42/677 (6.2%)</w:t>
            </w:r>
          </w:p>
        </w:tc>
        <w:tc>
          <w:tcPr>
            <w:tcW w:w="1560" w:type="dxa"/>
          </w:tcPr>
          <w:p w14:paraId="41B51891" w14:textId="77777777" w:rsidR="002D625D" w:rsidRPr="00BD1C2C" w:rsidRDefault="002D625D" w:rsidP="0013066A">
            <w:pPr>
              <w:jc w:val="center"/>
              <w:rPr>
                <w:sz w:val="20"/>
              </w:rPr>
            </w:pPr>
            <w:r w:rsidRPr="00BD1C2C">
              <w:rPr>
                <w:sz w:val="20"/>
              </w:rPr>
              <w:t>33/700 (4.7%)</w:t>
            </w:r>
          </w:p>
        </w:tc>
        <w:tc>
          <w:tcPr>
            <w:tcW w:w="2409" w:type="dxa"/>
          </w:tcPr>
          <w:p w14:paraId="5B7C4878" w14:textId="77777777" w:rsidR="002D625D" w:rsidRPr="00BD1C2C" w:rsidRDefault="002D625D" w:rsidP="0013066A">
            <w:pPr>
              <w:jc w:val="center"/>
              <w:rPr>
                <w:sz w:val="20"/>
              </w:rPr>
            </w:pPr>
            <w:r w:rsidRPr="00BD1C2C">
              <w:rPr>
                <w:sz w:val="20"/>
              </w:rPr>
              <w:t>1.31 (0.84, 2.03)</w:t>
            </w:r>
          </w:p>
        </w:tc>
        <w:tc>
          <w:tcPr>
            <w:tcW w:w="1134" w:type="dxa"/>
          </w:tcPr>
          <w:p w14:paraId="49F4FC9C" w14:textId="77777777" w:rsidR="002D625D" w:rsidRPr="00BD1C2C" w:rsidRDefault="002D625D" w:rsidP="0013066A">
            <w:pPr>
              <w:jc w:val="center"/>
              <w:rPr>
                <w:sz w:val="20"/>
              </w:rPr>
            </w:pPr>
          </w:p>
        </w:tc>
      </w:tr>
      <w:tr w:rsidR="002D625D" w:rsidRPr="00BD1C2C" w14:paraId="4A11CA5B" w14:textId="77777777" w:rsidTr="0013066A">
        <w:trPr>
          <w:trHeight w:val="340"/>
        </w:trPr>
        <w:tc>
          <w:tcPr>
            <w:tcW w:w="2518" w:type="dxa"/>
          </w:tcPr>
          <w:p w14:paraId="4A14EF3B" w14:textId="77777777" w:rsidR="002D625D" w:rsidRPr="00BD1C2C" w:rsidRDefault="002D625D" w:rsidP="0013066A">
            <w:pPr>
              <w:rPr>
                <w:sz w:val="20"/>
              </w:rPr>
            </w:pPr>
            <w:r w:rsidRPr="00BD1C2C">
              <w:rPr>
                <w:sz w:val="20"/>
              </w:rPr>
              <w:t xml:space="preserve">20-80% </w:t>
            </w:r>
            <w:proofErr w:type="spellStart"/>
            <w:r w:rsidRPr="00BD1C2C">
              <w:rPr>
                <w:sz w:val="20"/>
              </w:rPr>
              <w:t>closed-cell</w:t>
            </w:r>
            <w:proofErr w:type="spellEnd"/>
            <w:r w:rsidRPr="00BD1C2C">
              <w:rPr>
                <w:sz w:val="20"/>
              </w:rPr>
              <w:t xml:space="preserve"> </w:t>
            </w:r>
            <w:proofErr w:type="spellStart"/>
            <w:r w:rsidRPr="00BD1C2C">
              <w:rPr>
                <w:sz w:val="20"/>
              </w:rPr>
              <w:t>stents</w:t>
            </w:r>
            <w:proofErr w:type="spellEnd"/>
          </w:p>
        </w:tc>
        <w:tc>
          <w:tcPr>
            <w:tcW w:w="1559" w:type="dxa"/>
          </w:tcPr>
          <w:p w14:paraId="202A748A" w14:textId="77777777" w:rsidR="002D625D" w:rsidRPr="00BD1C2C" w:rsidRDefault="002D625D" w:rsidP="0013066A">
            <w:pPr>
              <w:jc w:val="center"/>
              <w:rPr>
                <w:sz w:val="20"/>
              </w:rPr>
            </w:pPr>
            <w:r w:rsidRPr="00BD1C2C">
              <w:rPr>
                <w:sz w:val="20"/>
              </w:rPr>
              <w:t>54/615 (8.8%)</w:t>
            </w:r>
          </w:p>
        </w:tc>
        <w:tc>
          <w:tcPr>
            <w:tcW w:w="1560" w:type="dxa"/>
          </w:tcPr>
          <w:p w14:paraId="17C59E43" w14:textId="77777777" w:rsidR="002D625D" w:rsidRPr="00BD1C2C" w:rsidRDefault="002D625D" w:rsidP="0013066A">
            <w:pPr>
              <w:jc w:val="center"/>
              <w:rPr>
                <w:sz w:val="20"/>
              </w:rPr>
            </w:pPr>
            <w:r w:rsidRPr="00BD1C2C">
              <w:rPr>
                <w:sz w:val="20"/>
              </w:rPr>
              <w:t>29/640 (4.5%)</w:t>
            </w:r>
          </w:p>
        </w:tc>
        <w:tc>
          <w:tcPr>
            <w:tcW w:w="2409" w:type="dxa"/>
          </w:tcPr>
          <w:p w14:paraId="135538CC" w14:textId="77777777" w:rsidR="002D625D" w:rsidRPr="00BD1C2C" w:rsidRDefault="002D625D" w:rsidP="0013066A">
            <w:pPr>
              <w:jc w:val="center"/>
              <w:rPr>
                <w:sz w:val="20"/>
              </w:rPr>
            </w:pPr>
            <w:r w:rsidRPr="00BD1C2C">
              <w:rPr>
                <w:sz w:val="20"/>
              </w:rPr>
              <w:t>1.93 (1.25, 3.00)</w:t>
            </w:r>
          </w:p>
        </w:tc>
        <w:tc>
          <w:tcPr>
            <w:tcW w:w="1134" w:type="dxa"/>
          </w:tcPr>
          <w:p w14:paraId="4770B663" w14:textId="77777777" w:rsidR="002D625D" w:rsidRPr="00BD1C2C" w:rsidRDefault="002D625D" w:rsidP="0013066A">
            <w:pPr>
              <w:jc w:val="center"/>
              <w:rPr>
                <w:sz w:val="20"/>
              </w:rPr>
            </w:pPr>
            <w:r w:rsidRPr="00BD1C2C">
              <w:rPr>
                <w:sz w:val="20"/>
              </w:rPr>
              <w:t>P=0.062</w:t>
            </w:r>
          </w:p>
        </w:tc>
      </w:tr>
      <w:tr w:rsidR="002D625D" w:rsidRPr="00BD1C2C" w14:paraId="5512FA42" w14:textId="77777777" w:rsidTr="0013066A">
        <w:trPr>
          <w:trHeight w:val="340"/>
        </w:trPr>
        <w:tc>
          <w:tcPr>
            <w:tcW w:w="2518" w:type="dxa"/>
          </w:tcPr>
          <w:p w14:paraId="278CEF75" w14:textId="77777777" w:rsidR="002D625D" w:rsidRPr="00BD1C2C" w:rsidRDefault="002D625D" w:rsidP="0013066A">
            <w:pPr>
              <w:rPr>
                <w:sz w:val="20"/>
              </w:rPr>
            </w:pPr>
            <w:r w:rsidRPr="00BD1C2C">
              <w:rPr>
                <w:sz w:val="20"/>
              </w:rPr>
              <w:t xml:space="preserve">&lt;20% </w:t>
            </w:r>
            <w:proofErr w:type="spellStart"/>
            <w:r w:rsidRPr="00BD1C2C">
              <w:rPr>
                <w:sz w:val="20"/>
              </w:rPr>
              <w:t>closed-cell</w:t>
            </w:r>
            <w:proofErr w:type="spellEnd"/>
            <w:r w:rsidRPr="00BD1C2C">
              <w:rPr>
                <w:sz w:val="20"/>
              </w:rPr>
              <w:t xml:space="preserve"> </w:t>
            </w:r>
            <w:proofErr w:type="spellStart"/>
            <w:r w:rsidRPr="00BD1C2C">
              <w:rPr>
                <w:sz w:val="20"/>
              </w:rPr>
              <w:t>stents</w:t>
            </w:r>
            <w:proofErr w:type="spellEnd"/>
          </w:p>
        </w:tc>
        <w:tc>
          <w:tcPr>
            <w:tcW w:w="1559" w:type="dxa"/>
          </w:tcPr>
          <w:p w14:paraId="64CB32A5" w14:textId="77777777" w:rsidR="002D625D" w:rsidRPr="00BD1C2C" w:rsidRDefault="002D625D" w:rsidP="0013066A">
            <w:pPr>
              <w:jc w:val="center"/>
              <w:rPr>
                <w:sz w:val="20"/>
              </w:rPr>
            </w:pPr>
            <w:r w:rsidRPr="00BD1C2C">
              <w:rPr>
                <w:sz w:val="20"/>
              </w:rPr>
              <w:t>19/231 (8.2%)</w:t>
            </w:r>
          </w:p>
        </w:tc>
        <w:tc>
          <w:tcPr>
            <w:tcW w:w="1560" w:type="dxa"/>
          </w:tcPr>
          <w:p w14:paraId="6262C74B" w14:textId="77777777" w:rsidR="002D625D" w:rsidRPr="00BD1C2C" w:rsidRDefault="002D625D" w:rsidP="0013066A">
            <w:pPr>
              <w:jc w:val="center"/>
              <w:rPr>
                <w:sz w:val="20"/>
              </w:rPr>
            </w:pPr>
            <w:r w:rsidRPr="00BD1C2C">
              <w:rPr>
                <w:sz w:val="20"/>
              </w:rPr>
              <w:t>6/238 (2.5%)</w:t>
            </w:r>
          </w:p>
        </w:tc>
        <w:tc>
          <w:tcPr>
            <w:tcW w:w="2409" w:type="dxa"/>
          </w:tcPr>
          <w:p w14:paraId="028482E8" w14:textId="77777777" w:rsidR="002D625D" w:rsidRPr="00BD1C2C" w:rsidRDefault="002D625D" w:rsidP="0013066A">
            <w:pPr>
              <w:jc w:val="center"/>
              <w:rPr>
                <w:sz w:val="20"/>
              </w:rPr>
            </w:pPr>
            <w:r w:rsidRPr="00BD1C2C">
              <w:rPr>
                <w:sz w:val="20"/>
              </w:rPr>
              <w:t>3.24 (1.32, 7.96)</w:t>
            </w:r>
          </w:p>
        </w:tc>
        <w:tc>
          <w:tcPr>
            <w:tcW w:w="1134" w:type="dxa"/>
          </w:tcPr>
          <w:p w14:paraId="309EBF05" w14:textId="77777777" w:rsidR="002D625D" w:rsidRPr="00BD1C2C" w:rsidRDefault="002D625D" w:rsidP="0013066A">
            <w:pPr>
              <w:jc w:val="center"/>
              <w:rPr>
                <w:sz w:val="20"/>
              </w:rPr>
            </w:pPr>
          </w:p>
        </w:tc>
      </w:tr>
    </w:tbl>
    <w:p w14:paraId="5417A5D8" w14:textId="77777777" w:rsidR="002D625D" w:rsidRPr="00BD1C2C" w:rsidRDefault="002D625D" w:rsidP="002D625D">
      <w:pPr>
        <w:rPr>
          <w:rFonts w:cstheme="minorHAnsi"/>
        </w:rPr>
      </w:pPr>
    </w:p>
    <w:p w14:paraId="2A423094" w14:textId="77777777" w:rsidR="002D625D" w:rsidRPr="00BD1C2C" w:rsidRDefault="002D625D" w:rsidP="002D625D">
      <w:pPr>
        <w:rPr>
          <w:lang w:val="en-US"/>
        </w:rPr>
      </w:pPr>
      <w:r w:rsidRPr="00BD1C2C">
        <w:rPr>
          <w:lang w:val="en-US"/>
        </w:rPr>
        <w:t xml:space="preserve">Legend: </w:t>
      </w:r>
      <w:r w:rsidRPr="00BD1C2C">
        <w:rPr>
          <w:b/>
          <w:lang w:val="en-US"/>
        </w:rPr>
        <w:t xml:space="preserve"> </w:t>
      </w:r>
      <w:r w:rsidRPr="00BD1C2C">
        <w:rPr>
          <w:color w:val="000000"/>
          <w:lang w:val="en-GB" w:eastAsia="de-CH"/>
        </w:rPr>
        <w:t>Crude risks (number of events divided by number of patients) and b</w:t>
      </w:r>
      <w:r w:rsidRPr="00BD1C2C">
        <w:rPr>
          <w:lang w:val="en-GB"/>
        </w:rPr>
        <w:t>inomial regression estimates of risk ratios (RR) and 95% confidence intervals (CI) of any stroke or death within 30 days of treatment are provided for patients treated with stenting compared with patients treated with endarterectomy. C</w:t>
      </w:r>
      <w:r w:rsidRPr="00BD1C2C">
        <w:rPr>
          <w:lang w:val="en-US"/>
        </w:rPr>
        <w:t>enters were excluded if they had &lt;4 CAS procedures with known stent design. CAS, carotid artery stenting; CEA, carotid endarterectomy.</w:t>
      </w:r>
    </w:p>
    <w:p w14:paraId="1E0B314E" w14:textId="77777777" w:rsidR="00251DFC" w:rsidRPr="00BD1C2C" w:rsidRDefault="00251DFC" w:rsidP="00C046C8">
      <w:pPr>
        <w:rPr>
          <w:sz w:val="20"/>
          <w:szCs w:val="20"/>
          <w:lang w:val="en-GB"/>
        </w:rPr>
      </w:pPr>
    </w:p>
    <w:p w14:paraId="2E6F31B6" w14:textId="77777777" w:rsidR="0000771C" w:rsidRPr="00BD1C2C" w:rsidRDefault="0000771C">
      <w:pPr>
        <w:spacing w:after="200" w:line="276" w:lineRule="auto"/>
        <w:rPr>
          <w:sz w:val="20"/>
          <w:szCs w:val="20"/>
          <w:lang w:val="en-GB"/>
        </w:rPr>
      </w:pPr>
      <w:r w:rsidRPr="00BD1C2C">
        <w:rPr>
          <w:sz w:val="20"/>
          <w:szCs w:val="20"/>
          <w:lang w:val="en-GB"/>
        </w:rPr>
        <w:br w:type="page"/>
      </w:r>
    </w:p>
    <w:p w14:paraId="7AD2EBAE" w14:textId="77777777" w:rsidR="00C046C8" w:rsidRPr="00BD1C2C" w:rsidRDefault="00C046C8" w:rsidP="00C046C8">
      <w:pPr>
        <w:rPr>
          <w:sz w:val="20"/>
          <w:szCs w:val="20"/>
          <w:lang w:val="en-GB"/>
        </w:rPr>
      </w:pPr>
    </w:p>
    <w:p w14:paraId="08A866E1" w14:textId="77777777" w:rsidR="00C046C8" w:rsidRPr="00BD1C2C" w:rsidRDefault="00C046C8" w:rsidP="00C046C8">
      <w:pPr>
        <w:rPr>
          <w:b/>
          <w:sz w:val="20"/>
          <w:szCs w:val="20"/>
          <w:u w:val="single"/>
          <w:lang w:val="en-GB"/>
        </w:rPr>
      </w:pPr>
    </w:p>
    <w:p w14:paraId="3F7F722C" w14:textId="77777777" w:rsidR="00C046C8" w:rsidRPr="00BD1C2C" w:rsidRDefault="00C046C8" w:rsidP="00C046C8">
      <w:pPr>
        <w:rPr>
          <w:b/>
          <w:sz w:val="20"/>
          <w:szCs w:val="20"/>
          <w:lang w:val="en-GB"/>
        </w:rPr>
      </w:pPr>
      <w:r w:rsidRPr="00BD1C2C">
        <w:rPr>
          <w:b/>
          <w:noProof/>
          <w:sz w:val="20"/>
          <w:szCs w:val="20"/>
        </w:rPr>
        <w:drawing>
          <wp:inline distT="0" distB="0" distL="0" distR="0" wp14:anchorId="31A96E08" wp14:editId="4BEEE632">
            <wp:extent cx="5760000" cy="1738286"/>
            <wp:effectExtent l="0" t="0" r="0" b="0"/>
            <wp:docPr id="15" name="Grafik 15" descr="C:\Users\Leo Bonati\Documents\3_RESEARCH\LONDON\CSTC\D1_Stenting-technical\Graphs\FigureSup1_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o Bonati\Documents\3_RESEARCH\LONDON\CSTC\D1_Stenting-technical\Graphs\FigureSup1_wmf.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0" cy="1738286"/>
                    </a:xfrm>
                    <a:prstGeom prst="rect">
                      <a:avLst/>
                    </a:prstGeom>
                    <a:noFill/>
                    <a:ln>
                      <a:noFill/>
                    </a:ln>
                  </pic:spPr>
                </pic:pic>
              </a:graphicData>
            </a:graphic>
          </wp:inline>
        </w:drawing>
      </w:r>
    </w:p>
    <w:p w14:paraId="174BD0D0" w14:textId="77777777" w:rsidR="00C046C8" w:rsidRPr="00BD1C2C" w:rsidRDefault="00C046C8" w:rsidP="00C046C8">
      <w:pPr>
        <w:rPr>
          <w:sz w:val="20"/>
          <w:szCs w:val="20"/>
          <w:lang w:val="en-GB"/>
        </w:rPr>
      </w:pPr>
    </w:p>
    <w:p w14:paraId="52967256" w14:textId="77777777" w:rsidR="00251DFC" w:rsidRPr="00BD1C2C" w:rsidRDefault="00251DFC" w:rsidP="00251DFC">
      <w:pPr>
        <w:spacing w:line="480" w:lineRule="auto"/>
        <w:rPr>
          <w:b/>
          <w:lang w:val="en-GB"/>
        </w:rPr>
      </w:pPr>
    </w:p>
    <w:p w14:paraId="70AD1E9D" w14:textId="230C39BF" w:rsidR="00C046C8" w:rsidRPr="00BD1C2C" w:rsidRDefault="0000771C" w:rsidP="0000771C">
      <w:pPr>
        <w:rPr>
          <w:lang w:val="en-GB"/>
        </w:rPr>
      </w:pPr>
      <w:r w:rsidRPr="00BD1C2C">
        <w:rPr>
          <w:b/>
          <w:lang w:val="en-GB"/>
        </w:rPr>
        <w:t xml:space="preserve">Supplementary figure </w:t>
      </w:r>
      <w:r w:rsidR="002D625D" w:rsidRPr="00BD1C2C">
        <w:rPr>
          <w:b/>
          <w:lang w:val="en-GB"/>
        </w:rPr>
        <w:t>1</w:t>
      </w:r>
      <w:r w:rsidR="00C046C8" w:rsidRPr="00BD1C2C">
        <w:rPr>
          <w:b/>
          <w:lang w:val="en-GB"/>
        </w:rPr>
        <w:t>:</w:t>
      </w:r>
      <w:r w:rsidR="00C046C8" w:rsidRPr="00BD1C2C">
        <w:rPr>
          <w:lang w:val="en-GB"/>
        </w:rPr>
        <w:t xml:space="preserve"> Effect of stent treatment with versus without use of protection devices in contributing trials.</w:t>
      </w:r>
    </w:p>
    <w:p w14:paraId="3C7C50EA" w14:textId="77777777" w:rsidR="00C046C8" w:rsidRPr="00BD1C2C" w:rsidRDefault="00C046C8" w:rsidP="0000771C">
      <w:pPr>
        <w:spacing w:before="240"/>
        <w:rPr>
          <w:lang w:val="en-GB"/>
        </w:rPr>
      </w:pPr>
      <w:r w:rsidRPr="00BD1C2C">
        <w:rPr>
          <w:lang w:val="en-GB"/>
        </w:rPr>
        <w:t>Percentages are number of events divided by number of patients. Squares and horizontal bars represent within-trial treatment risk ratios and 95% CIs, respectively, with unprotected stenting as the reference group, on a log scale. The size of squares represents study weight. The diamond represents the pooled risk ratio and 95% CI, adjusted for source trial. In the investigation of heterogeneity, the interaction p value represents the significance of the interaction between source trial and treatment effect in the regression model (likelihood ratio test); a significant p value suggests heterogeneity. EVA-3S=Endarterectomy versus Angioplasty in Patients with Symptomatic Severe Carotid Stenosis. SPACE=Stent-Protected Angioplasty versus Carotid Endarterectomy. ICSS=International Carotid Stenting Study.</w:t>
      </w:r>
    </w:p>
    <w:p w14:paraId="0838FFCC" w14:textId="77777777" w:rsidR="00C046C8" w:rsidRPr="00BD1C2C" w:rsidRDefault="00C046C8" w:rsidP="00C046C8">
      <w:pPr>
        <w:pageBreakBefore/>
        <w:spacing w:before="240" w:line="360" w:lineRule="auto"/>
        <w:rPr>
          <w:rFonts w:ascii="Arial" w:hAnsi="Arial" w:cs="Arial"/>
          <w:sz w:val="22"/>
          <w:szCs w:val="22"/>
          <w:lang w:val="en-GB"/>
        </w:rPr>
      </w:pPr>
      <w:r w:rsidRPr="00BD1C2C">
        <w:rPr>
          <w:rFonts w:ascii="Arial" w:hAnsi="Arial" w:cs="Arial"/>
          <w:noProof/>
          <w:sz w:val="22"/>
          <w:szCs w:val="22"/>
        </w:rPr>
        <w:lastRenderedPageBreak/>
        <w:drawing>
          <wp:inline distT="0" distB="0" distL="0" distR="0" wp14:anchorId="2701FC55" wp14:editId="123A1F80">
            <wp:extent cx="5760000" cy="3124800"/>
            <wp:effectExtent l="0" t="0" r="0" b="0"/>
            <wp:docPr id="16" name="Grafik 16" descr="C:\Users\Leo Bonati\Documents\3_RESEARCH\LONDON\CSTC\D1_Stenting-technical\Graphs\FigureSup2_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o Bonati\Documents\3_RESEARCH\LONDON\CSTC\D1_Stenting-technical\Graphs\FigureSup2_wmf.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3124800"/>
                    </a:xfrm>
                    <a:prstGeom prst="rect">
                      <a:avLst/>
                    </a:prstGeom>
                    <a:noFill/>
                    <a:ln>
                      <a:noFill/>
                    </a:ln>
                  </pic:spPr>
                </pic:pic>
              </a:graphicData>
            </a:graphic>
          </wp:inline>
        </w:drawing>
      </w:r>
    </w:p>
    <w:p w14:paraId="0DB9DFF9" w14:textId="77777777" w:rsidR="00251DFC" w:rsidRPr="00BD1C2C" w:rsidRDefault="00251DFC" w:rsidP="00251DFC">
      <w:pPr>
        <w:spacing w:before="240" w:line="480" w:lineRule="auto"/>
        <w:rPr>
          <w:b/>
          <w:lang w:val="en-GB"/>
        </w:rPr>
      </w:pPr>
    </w:p>
    <w:p w14:paraId="2ED2030A" w14:textId="3BF4DC4B" w:rsidR="00C046C8" w:rsidRPr="00BD1C2C" w:rsidRDefault="0000771C" w:rsidP="0000771C">
      <w:pPr>
        <w:spacing w:before="240"/>
        <w:rPr>
          <w:lang w:val="en-GB"/>
        </w:rPr>
      </w:pPr>
      <w:r w:rsidRPr="00BD1C2C">
        <w:rPr>
          <w:b/>
          <w:lang w:val="en-GB"/>
        </w:rPr>
        <w:t xml:space="preserve">Supplementary figure </w:t>
      </w:r>
      <w:r w:rsidR="002D625D" w:rsidRPr="00BD1C2C">
        <w:rPr>
          <w:b/>
          <w:lang w:val="en-GB"/>
        </w:rPr>
        <w:t>2</w:t>
      </w:r>
      <w:r w:rsidR="00C046C8" w:rsidRPr="00BD1C2C">
        <w:rPr>
          <w:b/>
          <w:lang w:val="en-GB"/>
        </w:rPr>
        <w:t>:</w:t>
      </w:r>
      <w:r w:rsidR="00C046C8" w:rsidRPr="00BD1C2C">
        <w:rPr>
          <w:lang w:val="en-GB"/>
        </w:rPr>
        <w:t xml:space="preserve"> Effect of stent treatment with versus without use of protection devices on risk of procedural stroke or death according to stent design and patient age.</w:t>
      </w:r>
    </w:p>
    <w:p w14:paraId="49CB5739" w14:textId="77777777" w:rsidR="00C046C8" w:rsidRPr="00BD1C2C" w:rsidRDefault="00C046C8" w:rsidP="0000771C">
      <w:pPr>
        <w:spacing w:before="240"/>
        <w:rPr>
          <w:lang w:val="en-GB"/>
        </w:rPr>
      </w:pPr>
      <w:r w:rsidRPr="00BD1C2C">
        <w:rPr>
          <w:lang w:val="en-GB"/>
        </w:rPr>
        <w:t>Percentages are number of events divided by number of patients. Squares and horizontal bars represent treatment risk ratios and 95% CIs within subgroups, respectively, with unprotected stenting as the reference group, on a log scale, adjusted for source trial. The diamond represents the overall risk ratio and 95% CI for protected versus unprotected stenting, adjusted for source trial.</w:t>
      </w:r>
    </w:p>
    <w:p w14:paraId="18DDEF37" w14:textId="77777777" w:rsidR="00251DFC" w:rsidRPr="00BD1C2C" w:rsidRDefault="00251DFC" w:rsidP="00251DFC">
      <w:pPr>
        <w:spacing w:before="240" w:line="480" w:lineRule="auto"/>
        <w:rPr>
          <w:lang w:val="en-GB"/>
        </w:rPr>
      </w:pPr>
    </w:p>
    <w:p w14:paraId="152ECBBA" w14:textId="77777777" w:rsidR="00251DFC" w:rsidRPr="00BD1C2C" w:rsidRDefault="00251DFC" w:rsidP="00251DFC">
      <w:pPr>
        <w:spacing w:before="240" w:line="480" w:lineRule="auto"/>
        <w:rPr>
          <w:lang w:val="en-GB"/>
        </w:rPr>
      </w:pPr>
    </w:p>
    <w:p w14:paraId="3F4A61A2" w14:textId="77777777" w:rsidR="00251DFC" w:rsidRPr="00BD1C2C" w:rsidRDefault="00251DFC" w:rsidP="00251DFC">
      <w:pPr>
        <w:spacing w:before="240" w:line="480" w:lineRule="auto"/>
        <w:rPr>
          <w:lang w:val="en-GB"/>
        </w:rPr>
      </w:pPr>
    </w:p>
    <w:p w14:paraId="23904D22" w14:textId="77777777" w:rsidR="0026348D" w:rsidRPr="00BD1C2C" w:rsidRDefault="0026348D">
      <w:pPr>
        <w:rPr>
          <w:lang w:val="en-US"/>
        </w:rPr>
      </w:pPr>
    </w:p>
    <w:p w14:paraId="71EBDD8D" w14:textId="77777777" w:rsidR="00251DFC" w:rsidRPr="00BD1C2C" w:rsidRDefault="00251DFC">
      <w:pPr>
        <w:rPr>
          <w:lang w:val="en-US"/>
        </w:rPr>
      </w:pPr>
    </w:p>
    <w:p w14:paraId="009F6004" w14:textId="77777777" w:rsidR="00251DFC" w:rsidRPr="00BD1C2C" w:rsidRDefault="00251DFC">
      <w:pPr>
        <w:rPr>
          <w:lang w:val="en-US"/>
        </w:rPr>
      </w:pPr>
    </w:p>
    <w:p w14:paraId="7D331B3E" w14:textId="77777777" w:rsidR="00251DFC" w:rsidRPr="00BD1C2C" w:rsidRDefault="00251DFC">
      <w:pPr>
        <w:rPr>
          <w:lang w:val="en-US"/>
        </w:rPr>
      </w:pPr>
    </w:p>
    <w:p w14:paraId="2CA916A8" w14:textId="77777777" w:rsidR="00251DFC" w:rsidRPr="00BD1C2C" w:rsidRDefault="00251DFC">
      <w:pPr>
        <w:rPr>
          <w:lang w:val="en-US"/>
        </w:rPr>
      </w:pPr>
    </w:p>
    <w:p w14:paraId="6DD6F715" w14:textId="77777777" w:rsidR="0000771C" w:rsidRPr="00BD1C2C" w:rsidRDefault="0000771C">
      <w:pPr>
        <w:spacing w:after="200" w:line="276" w:lineRule="auto"/>
        <w:rPr>
          <w:b/>
          <w:lang w:val="en-US"/>
        </w:rPr>
      </w:pPr>
      <w:r w:rsidRPr="00BD1C2C">
        <w:rPr>
          <w:b/>
          <w:lang w:val="en-US"/>
        </w:rPr>
        <w:br w:type="page"/>
      </w:r>
    </w:p>
    <w:p w14:paraId="6AD1C87A" w14:textId="77777777" w:rsidR="00251DFC" w:rsidRPr="00BD1C2C" w:rsidRDefault="00251DFC" w:rsidP="0000771C">
      <w:pPr>
        <w:rPr>
          <w:b/>
          <w:lang w:val="en-US"/>
        </w:rPr>
      </w:pPr>
      <w:r w:rsidRPr="00BD1C2C">
        <w:rPr>
          <w:b/>
          <w:lang w:val="en-US"/>
        </w:rPr>
        <w:lastRenderedPageBreak/>
        <w:t>Statistical analysis plan</w:t>
      </w:r>
    </w:p>
    <w:p w14:paraId="0D04E73C" w14:textId="77777777" w:rsidR="00251DFC" w:rsidRPr="00BD1C2C" w:rsidRDefault="00251DFC" w:rsidP="0000771C">
      <w:pPr>
        <w:rPr>
          <w:lang w:val="en-US"/>
        </w:rPr>
      </w:pPr>
      <w:r w:rsidRPr="00BD1C2C">
        <w:rPr>
          <w:lang w:val="en-US"/>
        </w:rPr>
        <w:t>Background</w:t>
      </w:r>
    </w:p>
    <w:p w14:paraId="1027A677" w14:textId="77777777" w:rsidR="00251DFC" w:rsidRPr="00BD1C2C" w:rsidRDefault="00251DFC" w:rsidP="0000771C">
      <w:pPr>
        <w:rPr>
          <w:lang w:val="en-US"/>
        </w:rPr>
      </w:pPr>
    </w:p>
    <w:p w14:paraId="5C29E983" w14:textId="77777777" w:rsidR="00251DFC" w:rsidRPr="00BD1C2C" w:rsidRDefault="00251DFC" w:rsidP="0000771C">
      <w:pPr>
        <w:rPr>
          <w:lang w:val="en-US"/>
        </w:rPr>
      </w:pPr>
      <w:r w:rsidRPr="00BD1C2C">
        <w:rPr>
          <w:lang w:val="en-US"/>
        </w:rPr>
        <w:t>Rationale</w:t>
      </w:r>
    </w:p>
    <w:p w14:paraId="4EF02EF7" w14:textId="77777777" w:rsidR="00251DFC" w:rsidRPr="00BD1C2C" w:rsidRDefault="00251DFC" w:rsidP="0000771C">
      <w:pPr>
        <w:rPr>
          <w:lang w:val="en-US"/>
        </w:rPr>
      </w:pPr>
    </w:p>
    <w:p w14:paraId="6F46948A" w14:textId="77777777" w:rsidR="00251DFC" w:rsidRPr="00BD1C2C" w:rsidRDefault="00251DFC" w:rsidP="0000771C">
      <w:pPr>
        <w:rPr>
          <w:lang w:val="en-US"/>
        </w:rPr>
      </w:pPr>
      <w:r w:rsidRPr="00BD1C2C">
        <w:rPr>
          <w:lang w:val="en-US"/>
        </w:rPr>
        <w:t>Since NASCET</w:t>
      </w:r>
      <w:r w:rsidRPr="00BD1C2C">
        <w:rPr>
          <w:lang w:val="en-US"/>
        </w:rPr>
        <w:fldChar w:fldCharType="begin" w:fldLock="1"/>
      </w:r>
      <w:r w:rsidRPr="00BD1C2C">
        <w:rPr>
          <w:lang w:val="en-US"/>
        </w:rPr>
        <w:instrText>ADDIN CSL_CITATION { "citationItems" : [ { "id" : "ITEM-1", "itemData" : { "ISSN" : "0039-2499", "PMID" : "2057968", "abstract" : "Fifty North American centers have combined to evaluate the benefit of carotid endarterectomy in randomized patients who have experienced symptoms related to arteriosclerotic stenosis of the carotid artery and who have received either best medical therapy alone or best medical therapy plus carotid endarterectomy. The outcome events are nonfatal and fatal stroke or death. A three-tier system identifies and adjudicates the type, severity, and location of each stroke and the cause of any death. Data about patients submitted to carotid endarterectomy outside the trial are compiled at the Nonrandomized Data Center at the Mayo Clinic. Between December 27, 1987, and October 1, 1990, 1,212 patients were randomized, 596 to medical therapy, 616 to carotid endarterectomy. Cross-over from the medical to the surgical arm has been low (4.2%). Patients eligible for the trial, but not randomized totaled 1,044; their characteristics were similar to those randomized so that, for the type of symptomatic patient in this study, our conclusions about the benefit of carotid endarterectomy can be generalized. Patients excluded by medical criteria totaled 679. Another 1,591 had carotid endarterectomy, but either lacked the disease under study, were asymptomatic, or received inadequate investigation to meet entry criteria. We set sample size at 1,900 patients, with continuing enrollment. The Monitoring Committee reviews at intervals the confidential analyses performed on the groups with moderate (30-69%) and severe (70-99%) stenosis. Stopping rules will be invoked for one or both groups if unequivocal benefit or harm is identified.", "container-title" : "Stroke; a journal of cerebral circulation", "id" : "ITEM-1", "issue" : "6", "issued" : { "date-parts" : [ [ "1991", "6" ] ] }, "page" : "711-20", "title" : "North American Symptomatic Carotid Endarterectomy Trial. Methods, patient characteristics, and progress.", "type" : "article-journal", "volume" : "22" }, "uris" : [ "http://www.mendeley.com/documents/?uuid=326b187c-fd8d-31c2-a4f6-d788d514d004" ] } ], "mendeley" : { "formattedCitation" : "&lt;sup&gt;1&lt;/sup&gt;", "plainTextFormattedCitation" : "1", "previouslyFormattedCitation" : "(1)" }, "properties" : { "noteIndex" : 0 }, "schema" : "https://github.com/citation-style-language/schema/raw/master/csl-citation.json" }</w:instrText>
      </w:r>
      <w:r w:rsidRPr="00BD1C2C">
        <w:rPr>
          <w:lang w:val="en-US"/>
        </w:rPr>
        <w:fldChar w:fldCharType="separate"/>
      </w:r>
      <w:r w:rsidRPr="00BD1C2C">
        <w:rPr>
          <w:noProof/>
          <w:vertAlign w:val="superscript"/>
          <w:lang w:val="en-US"/>
        </w:rPr>
        <w:t>1</w:t>
      </w:r>
      <w:r w:rsidRPr="00BD1C2C">
        <w:rPr>
          <w:lang w:val="en-US"/>
        </w:rPr>
        <w:fldChar w:fldCharType="end"/>
      </w:r>
      <w:r w:rsidRPr="00BD1C2C">
        <w:rPr>
          <w:lang w:val="en-US"/>
        </w:rPr>
        <w:t xml:space="preserve"> had proven carotid </w:t>
      </w:r>
      <w:proofErr w:type="spellStart"/>
      <w:r w:rsidRPr="00BD1C2C">
        <w:rPr>
          <w:lang w:val="en-US"/>
        </w:rPr>
        <w:t>revascularisation</w:t>
      </w:r>
      <w:proofErr w:type="spellEnd"/>
      <w:r w:rsidRPr="00BD1C2C">
        <w:rPr>
          <w:lang w:val="en-US"/>
        </w:rPr>
        <w:t xml:space="preserve"> by means of endarterectomy (CEA) to significantly reduce the risk of stroke in symptomatic carotid disease, CEA has become the gold standard of treatment. Besides a risk of peri-procedural stroke however, CEA carries some risk of general complications related to surgery and </w:t>
      </w:r>
      <w:proofErr w:type="spellStart"/>
      <w:r w:rsidRPr="00BD1C2C">
        <w:rPr>
          <w:lang w:val="en-US"/>
        </w:rPr>
        <w:t>anaesthesia</w:t>
      </w:r>
      <w:proofErr w:type="spellEnd"/>
      <w:r w:rsidRPr="00BD1C2C">
        <w:rPr>
          <w:lang w:val="en-US"/>
        </w:rPr>
        <w:t xml:space="preserve">, as well as morbidity related to incision in the neck such as cranial nerve palsy and </w:t>
      </w:r>
      <w:proofErr w:type="spellStart"/>
      <w:r w:rsidRPr="00BD1C2C">
        <w:rPr>
          <w:lang w:val="en-US"/>
        </w:rPr>
        <w:t>haematoma</w:t>
      </w:r>
      <w:proofErr w:type="spellEnd"/>
      <w:r w:rsidRPr="00BD1C2C">
        <w:rPr>
          <w:lang w:val="en-US"/>
        </w:rPr>
        <w:t xml:space="preserve">. In recent years, endovascular treatment with placement of a stent has been advocated as a less invasive alternative to endarterectomy. Carotid artery stenting (CAS) has potential advantages over endarterectomy: general and local surgical complications could be </w:t>
      </w:r>
      <w:proofErr w:type="gramStart"/>
      <w:r w:rsidRPr="00BD1C2C">
        <w:rPr>
          <w:lang w:val="en-US"/>
        </w:rPr>
        <w:t>avoided</w:t>
      </w:r>
      <w:proofErr w:type="gramEnd"/>
      <w:r w:rsidRPr="00BD1C2C">
        <w:rPr>
          <w:lang w:val="en-US"/>
        </w:rPr>
        <w:t xml:space="preserve"> and hospital stay may be shortened. However, stenting may also cause stroke during the intervention, either due to thrombo-embolism or release of atheromatous emboli. The development of thrombotic material on the disrupted vessel wall or at the foreign body, the stent, had drastically been reduced by combined platelet aggregation inhibition (aspirin and </w:t>
      </w:r>
      <w:proofErr w:type="spellStart"/>
      <w:r w:rsidRPr="00BD1C2C">
        <w:rPr>
          <w:lang w:val="en-US"/>
        </w:rPr>
        <w:t>clopidogrel</w:t>
      </w:r>
      <w:proofErr w:type="spellEnd"/>
      <w:r w:rsidRPr="00BD1C2C">
        <w:rPr>
          <w:lang w:val="en-US"/>
        </w:rPr>
        <w:t>).</w:t>
      </w:r>
      <w:r w:rsidRPr="00BD1C2C">
        <w:rPr>
          <w:lang w:val="en-US"/>
        </w:rPr>
        <w:fldChar w:fldCharType="begin" w:fldLock="1"/>
      </w:r>
      <w:r w:rsidRPr="00BD1C2C">
        <w:rPr>
          <w:lang w:val="en-US"/>
        </w:rPr>
        <w:instrText>ADDIN CSL_CITATION { "citationItems" : [ { "id" : "ITEM-1", "itemData" : { "ISSN" : "1042-3931", "PMID" : "11731685", "abstract" : "BACKGROUND Carotid artery stenting is being used as an alternative to carotid endarterectomy, both within the context of clinical trials and in non-surgical candidates. Though stenting is known to activate platelets, the role of antithrombotic therapy in carotid stenting has not been fully characterized. METHODS AND RESULTS Consecutive patients (n = 162) were followed in a single-center carotid stent registry. The cumulative rate of 30-day death, stroke, transient ischemic attack and myocardial infarction in those patients receiving a thienopyridine was determined, as were rates of stent thrombosis and intracranial hemorrhage. The mean age of the patients was 70.3 years and there was an extremely high prevalence of cardiovascular comorbidities, including 40% with unstable angina. The carotid lesion was symptomatic in 59% of patients. The average pre-treatment stenosis was 83%. The cumulative 30-day rate of death, stroke, transient ischemic attack and myocardial infarction was 5.6%. Specifically, in the patients who received ticlopidine (n = 23), the rate was 13%, versus 4.3% in the patients who received clopidogrel (n = 139) (p = 0.01). In this series, there were no cases of stent thrombosis and 1 intracranial hemorrhage. CONCLUSION Dual antiplatelet therapy with clopidogrel plus aspirin in patients receiving carotid artery stents is associated with a low rate of ischemic events. Furthermore, clopidogrel appears superior to ticlopidine. Thus, our findings lend support to the dual antiplatelet strategy of clopidogrel plus aspirin for patients undergoing carotid artery stenting.", "author" : [ { "dropping-particle" : "", "family" : "Bhatt", "given" : "D L", "non-dropping-particle" : "", "parse-names" : false, "suffix" : "" }, { "dropping-particle" : "", "family" : "Kapadia", "given" : "S R", "non-dropping-particle" : "", "parse-names" : false, "suffix" : "" }, { "dropping-particle" : "", "family" : "Bajzer", "given" : "C T", "non-dropping-particle" : "", "parse-names" : false, "suffix" : "" }, { "dropping-particle" : "", "family" : "Chew", "given" : "D P", "non-dropping-particle" : "", "parse-names" : false, "suffix" : "" }, { "dropping-particle" : "", "family" : "Ziada", "given" : "K M", "non-dropping-particle" : "", "parse-names" : false, "suffix" : "" }, { "dropping-particle" : "", "family" : "Mukherjee", "given" : "D", "non-dropping-particle" : "", "parse-names" : false, "suffix" : "" }, { "dropping-particle" : "", "family" : "Roffi", "given" : "M", "non-dropping-particle" : "", "parse-names" : false, "suffix" : "" }, { "dropping-particle" : "", "family" : "Topol", "given" : "E J", "non-dropping-particle" : "", "parse-names" : false, "suffix" : "" }, { "dropping-particle" : "", "family" : "Yadav", "given" : "J S", "non-dropping-particle" : "", "parse-names" : false, "suffix" : "" } ], "container-title" : "The Journal of invasive cardiology", "id" : "ITEM-1", "issue" : "12", "issued" : { "date-parts" : [ [ "2001", "12" ] ] }, "page" : "767-71", "title" : "Dual antiplatelet therapy with clopidogrel and aspirin after carotid artery stenting.", "type" : "article-journal", "volume" : "13" }, "uris" : [ "http://www.mendeley.com/documents/?uuid=3c7270e3-45b7-3320-9308-58079a78ddaa" ] }, { "id" : "ITEM-2", "itemData" : { "ISSN" : "1078-5884", "PMID" : "15966092", "abstract" : "OBJECTIVE To assess the benefits of a combined anti-platelet regime of aspirin and clopidogrel in carotid artery stenting. METHODS A randomised controlled trial was performed comparing aspirin and 24-h heparin with aspirin and clopidogrel for patients undergoing carotid artery stenting. Outcome measures included 30-day bleeding and neurological complications and 30-day stenosis rates. RESULTS Bleeding complications (groin haematoma or excessive bleeding at the groin site) occurred in 17% of the heparin and 9% of the clopidogrel group (p=0.35; n.s). The neurological complication rate in the 24-h heparin group was 25% compared to 0% in the clopidogrel group (p=0.02). The 30-day 50-100% stenosis rates were 26% in the heparin group and 5% in the clopidogrel group (p=0.10; n.s). CONCLUSIONS The dual anti-platelet regime has a significant impact on reducing adverse neurological outcomes without an additional increase in bleeding complications. This study was terminated prematurely due to an unacceptable level of complications in the heparin arm of the trial.", "author" : [ { "dropping-particle" : "", "family" : "McKevitt", "given" : "F M", "non-dropping-particle" : "", "parse-names" : false, "suffix" : "" }, { "dropping-particle" : "", "family" : "Randall", "given" : "M S", "non-dropping-particle" : "", "parse-names" : false, "suffix" : "" }, { "dropping-particle" : "", "family" : "Cleveland", "given" : "T J", "non-dropping-particle" : "", "parse-names" : false, "suffix" : "" }, { "dropping-particle" : "", "family" : "Gaines", "given" : "P A", "non-dropping-particle" : "", "parse-names" : false, "suffix" : "" }, { "dropping-particle" : "", "family" : "Tan", "given" : "K T", "non-dropping-particle" : "", "parse-names" : false, "suffix" : "" }, { "dropping-particle" : "", "family" : "Venables", "given" : "G S", "non-dropping-particle" : "", "parse-names" : false, "suffix" : "" } ], "container-title" : "European journal of vascular and endovascular surgery : the official journal of the European Society for Vascular Surgery", "id" : "ITEM-2", "issue" : "5", "issued" : { "date-parts" : [ [ "2005", "5" ] ] }, "page" : "522-7", "title" : "The benefits of combined anti-platelet treatment in carotid artery stenting.", "type" : "article-journal", "volume" : "29" }, "uris" : [ "http://www.mendeley.com/documents/?uuid=fa93e46d-39b2-3c19-9453-be3b93a0c199" ] } ], "mendeley" : { "formattedCitation" : "&lt;sup&gt;2,3&lt;/sup&gt;", "plainTextFormattedCitation" : "2,3", "previouslyFormattedCitation" : "(2,3)" }, "properties" : { "noteIndex" : 0 }, "schema" : "https://github.com/citation-style-language/schema/raw/master/csl-citation.json" }</w:instrText>
      </w:r>
      <w:r w:rsidRPr="00BD1C2C">
        <w:rPr>
          <w:lang w:val="en-US"/>
        </w:rPr>
        <w:fldChar w:fldCharType="separate"/>
      </w:r>
      <w:r w:rsidRPr="00BD1C2C">
        <w:rPr>
          <w:noProof/>
          <w:vertAlign w:val="superscript"/>
          <w:lang w:val="en-US"/>
        </w:rPr>
        <w:t>2,3</w:t>
      </w:r>
      <w:r w:rsidRPr="00BD1C2C">
        <w:rPr>
          <w:lang w:val="en-US"/>
        </w:rPr>
        <w:fldChar w:fldCharType="end"/>
      </w:r>
      <w:r w:rsidRPr="00BD1C2C">
        <w:rPr>
          <w:lang w:val="en-US"/>
        </w:rPr>
        <w:t xml:space="preserve">In contrast, there is ongoing uncertainty whether the use of cerebral protection devices reduces the risk of embolism of atheromatous or thrombotic material during CAS. The advocates of protection declare, that filters like bow nets in the distal ICA would be necessary, </w:t>
      </w:r>
      <w:proofErr w:type="gramStart"/>
      <w:r w:rsidRPr="00BD1C2C">
        <w:rPr>
          <w:lang w:val="en-US"/>
        </w:rPr>
        <w:t>in order to</w:t>
      </w:r>
      <w:proofErr w:type="gramEnd"/>
      <w:r w:rsidRPr="00BD1C2C">
        <w:rPr>
          <w:lang w:val="en-US"/>
        </w:rPr>
        <w:t xml:space="preserve"> protect the brain by means of removing emboli from the circulation. The advocates of unprotected stenting plead against the additional manipulation of endovascular material as it might increase the risk of dislodging emboli or injuring the vessel wall with subsequent thrombus formation or dissection. </w:t>
      </w:r>
      <w:proofErr w:type="gramStart"/>
      <w:r w:rsidRPr="00BD1C2C">
        <w:rPr>
          <w:lang w:val="en-US"/>
        </w:rPr>
        <w:t>Furthermore</w:t>
      </w:r>
      <w:proofErr w:type="gramEnd"/>
      <w:r w:rsidRPr="00BD1C2C">
        <w:rPr>
          <w:lang w:val="en-US"/>
        </w:rPr>
        <w:t xml:space="preserve"> the observation was made, that seemingly different stents - possibly depending on the stent design - are associated with a different frequency of complications.  This supported the hypothesis that the tight, “closed” stent design caused less often adverse outcome events than wide mash “open” stent design.</w:t>
      </w:r>
      <w:r w:rsidRPr="00BD1C2C">
        <w:rPr>
          <w:lang w:val="en-US"/>
        </w:rPr>
        <w:fldChar w:fldCharType="begin" w:fldLock="1"/>
      </w:r>
      <w:r w:rsidRPr="00BD1C2C">
        <w:rPr>
          <w:lang w:val="en-US"/>
        </w:rPr>
        <w:instrText>ADDIN CSL_CITATION { "citationItems" : [ { "id" : "ITEM-1", "itemData" : { "DOI" : "10.1016/j.ejvs.2006.09.019", "ISSN" : "1078-5884", "PMID" : "17097897", "abstract" : "OBJECTIVES To identify if carotid stent design, especially free cell area, impacts on the 30-day rates for stroke, death and TIA after carotid artery stenting (CAS). MATERIAL AND METHODS A CAS database of 3179 consecutive CAS patients was retrospectively assessed. The distribution of neurological complications were analysed for association with the different stent types and designs. Events where subdivided into procedural and postprocedural events. RESULTS The overall combined rate of TIA, stroke and death was 2.8% at 30 days (late events 1.9%). The post-procedural event rate analyzed for differences stents varied from 1.2% using BSCI Carotid Wallstent to 5.9% using Medtronic Exponent. The late event rates varied from 1.2% to 3.4% for free cell areas &lt;2.5mm(2) and &gt;7.5mm(2) respectively (p&lt;0.05). Post-procedural event rate was 1.3% for closed cells and 3.4% for open cells. All these differences were highly pronounced among symptomatic patients (p&lt;0.0001). CONCLUSIONS After carotid stenting, complication rates vary according to stent type, free cell area and cell design. In the symptomatic population (and also in the total population), post-procedural complication rates are highest for the open cell types and increase with larger free cell area.", "author" : [ { "dropping-particle" : "", "family" : "Bosiers", "given" : "M", "non-dropping-particle" : "", "parse-names" : false, "suffix" : "" }, { "dropping-particle" : "", "family" : "Donato", "given" : "G", "non-dropping-particle" : "de", "parse-names" : false, "suffix" : "" }, { "dropping-particle" : "", "family" : "Deloose", "given" : "K", "non-dropping-particle" : "", "parse-names" : false, "suffix" : "" }, { "dropping-particle" : "", "family" : "Verbist", "given" : "J", "non-dropping-particle" : "", "parse-names" : false, "suffix" : "" }, { "dropping-particle" : "", "family" : "Peeters", "given" : "P", "non-dropping-particle" : "", "parse-names" : false, "suffix" : "" }, { "dropping-particle" : "", "family" : "Castriota", "given" : "F", "non-dropping-particle" : "", "parse-names" : false, "suffix" : "" }, { "dropping-particle" : "", "family" : "Cremonesi", "given" : "A", "non-dropping-particle" : "", "parse-names" : false, "suffix" : "" }, { "dropping-particle" : "", "family" : "Setacci", "given" : "C", "non-dropping-particle" : "", "parse-names" : false, "suffix" : "" } ], "container-title" : "European journal of vascular and endovascular surgery : the official journal of the European Society for Vascular Surgery", "id" : "ITEM-1", "issue" : "2", "issued" : { "date-parts" : [ [ "2007", "2" ] ] }, "page" : "135-41; discussion 142-3", "title" : "Does free cell area influence the outcome in carotid artery stenting?", "type" : "article-journal", "volume" : "33" }, "uris" : [ "http://www.mendeley.com/documents/?uuid=718d1b80-8a3d-3d7d-aab5-68d95b7c87b2" ] } ], "mendeley" : { "formattedCitation" : "&lt;sup&gt;4&lt;/sup&gt;", "plainTextFormattedCitation" : "4", "previouslyFormattedCitation" : "(4)" }, "properties" : { "noteIndex" : 0 }, "schema" : "https://github.com/citation-style-language/schema/raw/master/csl-citation.json" }</w:instrText>
      </w:r>
      <w:r w:rsidRPr="00BD1C2C">
        <w:rPr>
          <w:lang w:val="en-US"/>
        </w:rPr>
        <w:fldChar w:fldCharType="separate"/>
      </w:r>
      <w:r w:rsidRPr="00BD1C2C">
        <w:rPr>
          <w:noProof/>
          <w:vertAlign w:val="superscript"/>
          <w:lang w:val="en-US"/>
        </w:rPr>
        <w:t>4</w:t>
      </w:r>
      <w:r w:rsidRPr="00BD1C2C">
        <w:rPr>
          <w:lang w:val="en-US"/>
        </w:rPr>
        <w:fldChar w:fldCharType="end"/>
      </w:r>
    </w:p>
    <w:p w14:paraId="01BD7809" w14:textId="77777777" w:rsidR="00251DFC" w:rsidRPr="00BD1C2C" w:rsidRDefault="00251DFC" w:rsidP="0000771C">
      <w:pPr>
        <w:rPr>
          <w:lang w:val="en-US"/>
        </w:rPr>
      </w:pPr>
    </w:p>
    <w:p w14:paraId="5CB29529" w14:textId="77777777" w:rsidR="00251DFC" w:rsidRPr="00BD1C2C" w:rsidRDefault="00251DFC" w:rsidP="0000771C">
      <w:pPr>
        <w:rPr>
          <w:lang w:val="en-US"/>
        </w:rPr>
      </w:pPr>
      <w:r w:rsidRPr="00BD1C2C">
        <w:rPr>
          <w:lang w:val="en-US"/>
        </w:rPr>
        <w:t xml:space="preserve">In three large </w:t>
      </w:r>
      <w:proofErr w:type="spellStart"/>
      <w:r w:rsidRPr="00BD1C2C">
        <w:rPr>
          <w:lang w:val="en-US"/>
        </w:rPr>
        <w:t>randomised</w:t>
      </w:r>
      <w:proofErr w:type="spellEnd"/>
      <w:r w:rsidRPr="00BD1C2C">
        <w:rPr>
          <w:lang w:val="en-US"/>
        </w:rPr>
        <w:t xml:space="preserve"> clinical trials of symptomatic carotid disease which contribute to the Carotid Stenting Trialists Collaboration (CSTC), stenting has been performed with and without protection. In the French Endarterectomy versus Angioplasty in Patients with Symptomatic Severe Carotid Stenosis trial (EVA-3S)</w:t>
      </w:r>
      <w:r w:rsidRPr="00BD1C2C">
        <w:rPr>
          <w:lang w:val="en-US"/>
        </w:rPr>
        <w:fldChar w:fldCharType="begin" w:fldLock="1"/>
      </w:r>
      <w:r w:rsidRPr="00BD1C2C">
        <w:rPr>
          <w:lang w:val="en-US"/>
        </w:rPr>
        <w:instrText>ADDIN CSL_CITATION { "citationItems" : [ { "id" : "ITEM-1", "itemData" : { "DOI" : "10.1056/NEJMoa061752", "ISSN" : "1533-4406", "PMID" : "17050890", "abstract" : "BACKGROUND Carotid stenting is less invasive than endarterectomy, but it is unclear whether it is as safe in patients with symptomatic carotid-artery stenosis. METHODS We conducted a multicenter, randomized, noninferiority trial to compare stenting with endarterectomy in patients with a symptomatic carotid stenosis of at least 60%. The primary end point was the incidence of any stroke or death within 30 days after treatment. RESULTS The trial was stopped prematurely after the inclusion of 527 patients for reasons of both safety and futility. The 30-day incidence of any stroke or death was 3.9% after endarterectomy (95% confidence interval [CI], 2.0 to 7.2) and 9.6% after stenting (95% CI, 6.4 to 14.0); the relative risk of any stroke or death after stenting as compared with endarterectomy was 2.5 (95% CI, 1.2 to 5.1). The 30-day incidence of disabling stroke or death was 1.5% after endarterectomy (95% CI, 0.5 to 4.2) and 3.4% after stenting (95% CI, 1.7 to 6.7); the relative risk was 2.2 (95% CI, 0.7 to 7.2). At 6 months, the incidence of any stroke or death was 6.1% after endarterectomy and 11.7% after stenting (P=0.02). There were more major local complications after stenting and more systemic complications (mainly pulmonary) after endarterectomy, but the differences were not significant. Cranial-nerve injury was more common after endarterectomy than after stenting. CONCLUSIONS In this study of patients with symptomatic carotid stenosis of 60% or more, the rates of death and stroke at 1 and 6 months were lower with endarterectomy than with stenting. (ClinicalTrials.gov number, NCT00190398 [ClinicalTrials.gov].).", "author" : [ { "dropping-particle" : "", "family" : "Mas", "given" : "Jean-Louis", "non-dropping-particle" : "", "parse-names" : false, "suffix" : "" }, { "dropping-particle" : "", "family" : "Chatellier", "given" : "Gilles", "non-dropping-particle" : "", "parse-names" : false, "suffix" : "" }, { "dropping-particle" : "", "family" : "Beyssen", "given" : "Bernard", "non-dropping-particle" : "", "parse-names" : false, "suffix" : "" }, { "dropping-particle" : "", "family" : "Branchereau", "given" : "Alain", "non-dropping-particle" : "", "parse-names" : false, "suffix" : "" }, { "dropping-particle" : "", "family" : "Moulin", "given" : "Thierry", "non-dropping-particle" : "", "parse-names" : false, "suffix" : "" }, { "dropping-particle" : "", "family" : "Becquemin", "given" : "Jean-Pierre", "non-dropping-particle" : "", "parse-names" : false, "suffix" : "" }, { "dropping-particle" : "", "family" : "Larrue", "given" : "Vincent", "non-dropping-particle" : "", "parse-names" : false, "suffix" : "" }, { "dropping-particle" : "", "family" : "Li\u00e8vre", "given" : "Michel", "non-dropping-particle" : "", "parse-names" : false, "suffix" : "" }, { "dropping-particle" : "", "family" : "Leys", "given" : "Didier", "non-dropping-particle" : "", "parse-names" : false, "suffix" : "" }, { "dropping-particle" : "", "family" : "Bonneville", "given" : "Jean-Fran\u00e7ois", "non-dropping-particle" : "", "parse-names" : false, "suffix" : "" }, { "dropping-particle" : "", "family" : "Watelet", "given" : "Jacques", "non-dropping-particle" : "", "parse-names" : false, "suffix" : "" }, { "dropping-particle" : "", "family" : "Pruvo", "given" : "Jean-Pierre", "non-dropping-particle" : "", "parse-names" : false, "suffix" : "" }, { "dropping-particle" : "", "family" : "Albucher", "given" : "Jean-Fran\u00e7ois", "non-dropping-particle" : "", "parse-names" : false, "suffix" : "" }, { "dropping-particle" : "", "family" : "Viguier", "given" : "Alain", "non-dropping-particle" : "", "parse-names" : false, "suffix" : "" }, { "dropping-particle" : "", "family" : "Piquet", "given" : "Philippe", "non-dropping-particle" : "", "parse-names" : false, "suffix" : "" }, { "dropping-particle" : "", "family" : "Garnier", "given" : "Pierre", "non-dropping-particle" : "", "parse-names" : false, "suffix" : "" }, { "dropping-particle" : "", "family" : "Viader", "given" : "Fausto", "non-dropping-particle" : "", "parse-names" : false, "suffix" : "" }, { "dropping-particle" : "", "family" : "Touz\u00e9", "given" : "Emmanuel", "non-dropping-particle" : "", "parse-names" : false, "suffix" : "" }, { "dropping-particle" : "", "family" : "Giroud", "given" : "Maurice", "non-dropping-particle" : "", "parse-names" : false, "suffix" : "" }, { "dropping-particle" : "", "family" : "Hosseini", "given" : "Hassan", "non-dropping-particle" : "", "parse-names" : false, "suffix" : "" }, { "dropping-particle" : "", "family" : "Pillet", "given" : "Jean-Christophe", "non-dropping-particle" : "", "parse-names" : false, "suffix" : "" }, { "dropping-particle" : "", "family" : "Favrole", "given" : "Pascal", "non-dropping-particle" : "", "parse-names" : false, "suffix" : "" }, { "dropping-particle" : "", "family" : "Neau", "given" : "Jean-Philippe", "non-dropping-particle" : "", "parse-names" : false, "suffix" : "" }, { "dropping-particle" : "", "family" : "Ducrocq", "given" : "Xavier", "non-dropping-particle" : "", "parse-names" : false, "suffix" : "" }, { "dropping-particle" : "", "family" : "EVA-3S Investigators", "given" : "", "non-dropping-particle" : "", "parse-names" : false, "suffix" : "" } ], "container-title" : "The New England journal of medicine", "id" : "ITEM-1", "issue" : "16", "issued" : { "date-parts" : [ [ "2006", "10", "19" ] ] }, "page" : "1660-71", "title" : "Endarterectomy versus stenting in patients with symptomatic severe carotid stenosis.", "type" : "article-journal", "volume" : "355" }, "uris" : [ "http://www.mendeley.com/documents/?uuid=a8d149b7-3b86-3d58-96a7-1ceede7a1e32" ] } ], "mendeley" : { "formattedCitation" : "&lt;sup&gt;5&lt;/sup&gt;", "plainTextFormattedCitation" : "5", "previouslyFormattedCitation" : "(5)" }, "properties" : { "noteIndex" : 0 }, "schema" : "https://github.com/citation-style-language/schema/raw/master/csl-citation.json" }</w:instrText>
      </w:r>
      <w:r w:rsidRPr="00BD1C2C">
        <w:rPr>
          <w:lang w:val="en-US"/>
        </w:rPr>
        <w:fldChar w:fldCharType="separate"/>
      </w:r>
      <w:r w:rsidRPr="00BD1C2C">
        <w:rPr>
          <w:noProof/>
          <w:vertAlign w:val="superscript"/>
          <w:lang w:val="en-US"/>
        </w:rPr>
        <w:t>5</w:t>
      </w:r>
      <w:r w:rsidRPr="00BD1C2C">
        <w:rPr>
          <w:lang w:val="en-US"/>
        </w:rPr>
        <w:fldChar w:fldCharType="end"/>
      </w:r>
      <w:r w:rsidRPr="00BD1C2C">
        <w:rPr>
          <w:lang w:val="en-US"/>
        </w:rPr>
        <w:t xml:space="preserve">, the use of protection devices became mandatory after </w:t>
      </w:r>
      <w:proofErr w:type="spellStart"/>
      <w:r w:rsidRPr="00BD1C2C">
        <w:rPr>
          <w:lang w:val="en-US"/>
        </w:rPr>
        <w:t>unfavourable</w:t>
      </w:r>
      <w:proofErr w:type="spellEnd"/>
      <w:r w:rsidRPr="00BD1C2C">
        <w:rPr>
          <w:lang w:val="en-US"/>
        </w:rPr>
        <w:t xml:space="preserve"> initial results in 33 patients treated without protection; 227 patients were treated with protection devices. In the German, Swiss, and Austrian Stent-Protected Angioplasty versus Carotid Endarterectomy in symptomatic patients trial (SPACE)</w:t>
      </w:r>
      <w:r w:rsidRPr="00BD1C2C">
        <w:rPr>
          <w:lang w:val="en-US"/>
        </w:rPr>
        <w:fldChar w:fldCharType="begin" w:fldLock="1"/>
      </w:r>
      <w:r w:rsidRPr="00BD1C2C">
        <w:rPr>
          <w:lang w:val="en-US"/>
        </w:rPr>
        <w:instrText>ADDIN CSL_CITATION { "citationItems" : [ { "id" : "ITEM-1", "itemData" : { "DOI" : "10.1016/S1474-4422(08)70196-0", "ISSN" : "1474-4422", "PMID" : "18774746", "abstract" : "BACKGROUND The SPACE trial is a multinational, prospective, randomised study to test the hypothesis that carotid artery stenting is not inferior to carotid endarterectomy for treating patients with severe symptomatic carotid artery stenosis. We did not prove non-inferiority of carotid artery stenting compared with carotid endarterectomy for the 30-day complication rate, and we now report the results at 2 years. METHODS Between March, 2001, and February, 2006, patients with symptomatic, severe (&gt;or=70%) carotid artery stenosis were recruited to this non-inferiority trial and randomly assigned with a block randomisation design to have carotid artery angioplasty with stenting or carotid artery endarterectomy. 2-year endpoints include several clinical endpoints and the incidence of recurrent carotid stenosis of at least 70%. Clinical and vascular follow-up was done by a certified neurologist. Analyses were by intention to treat and per protocol. This trial is registered with ISRCTN, number 57874028.12. FINDINGS 1 214 patients were randomly assigned (613 were randomly assigned to carotid angioplasty with stenting and 601 were randomly assigned to carotid endarterectomy). In both the intention-to-treat and per-protocol analyses the Kaplan-Meier estimates of ipsilateral ischaemic strokes up to 2 years after the procedure and any periprocedural stroke or death do not differ between the carotid artery stenting and the carotid endarterectomy groups (intention to treat 9.5%vs 8.8%; hazard ratio (HR) 1.10, 95%CI 0.75 to 1.61; log-rank p=0.62; per protocol 9.4%vs 7.8%; HR 1.23, 95%CI 0.82 to 1.83; log-rank p=0.31). In both the intention-to-treat and per-protocol populations, recurrent stenosis of 70% or more is significantly more frequent in the carotid artery stenting group compared with the carotid endarterectomy group, with a life-table estimate of 10.7% versus 4.6% (p=0.0009) and 11.1% versus 4.6% (p=0.0007), respectively. Only two incidences of recurrent stenoses after carotid artery stenting led to neurological symptoms. INTERPRETATION After 2 years' follow-up, the rate of recurrent ipsilateral ischaemic strokes reported in the SPACE trial is similar for both treatment groups. The incidence of recurrent carotid stenosis at 2 years, as defined by ultrasound, is significantly higher after carotid artery stenting. However, it cannot be excluded that the degree of in-stent stenosis is slightly overestimated by conventional ultrasound criteria.", "author" : [ { "dropping-particle" : "", "family" : "Eckstein", "given" : "Hans-Henning", "non-dropping-particle" : "", "parse-names" : false, "suffix" : "" }, { "dropping-particle" : "", "family" : "Ringleb", "given" : "Peter", "non-dropping-particle" : "", "parse-names" : false, "suffix" : "" }, { "dropping-particle" : "", "family" : "Allenberg", "given" : "Jens-Rainer", "non-dropping-particle" : "", "parse-names" : false, "suffix" : "" }, { "dropping-particle" : "", "family" : "Berger", "given" : "J\u00fcrgen", "non-dropping-particle" : "", "parse-names" : false, "suffix" : "" }, { "dropping-particle" : "", "family" : "Fraedrich", "given" : "Gustav", "non-dropping-particle" : "", "parse-names" : false, "suffix" : "" }, { "dropping-particle" : "", "family" : "Hacke", "given" : "Werner", "non-dropping-particle" : "", "parse-names" : false, "suffix" : "" }, { "dropping-particle" : "", "family" : "Hennerici", "given" : "Michael", "non-dropping-particle" : "", "parse-names" : false, "suffix" : "" }, { "dropping-particle" : "", "family" : "Stingele", "given" : "Robert", "non-dropping-particle" : "", "parse-names" : false, "suffix" : "" }, { "dropping-particle" : "", "family" : "Fiehler", "given" : "Jens", "non-dropping-particle" : "", "parse-names" : false, "suffix" : "" }, { "dropping-particle" : "", "family" : "Zeumer", "given" : "Hermann", "non-dropping-particle" : "", "parse-names" : false, "suffix" : "" }, { "dropping-particle" : "", "family" : "Jansen", "given" : "Olav", "non-dropping-particle" : "", "parse-names" : false, "suffix" : "" } ], "container-title" : "The Lancet. Neurology", "id" : "ITEM-1", "issue" : "10", "issued" : { "date-parts" : [ [ "2008", "10" ] ] }, "page" : "893-902", "title" : "Results of the Stent-Protected Angioplasty versus Carotid Endarterectomy (SPACE) study to treat symptomatic stenoses at 2 years: a multinational, prospective, randomised trial.", "type" : "article-journal", "volume" : "7" }, "uris" : [ "http://www.mendeley.com/documents/?uuid=10eab33c-0510-3d24-876a-cd50cb7f7227" ] } ], "mendeley" : { "formattedCitation" : "&lt;sup&gt;6&lt;/sup&gt;", "plainTextFormattedCitation" : "6", "previouslyFormattedCitation" : "(6)" }, "properties" : { "noteIndex" : 0 }, "schema" : "https://github.com/citation-style-language/schema/raw/master/csl-citation.json" }</w:instrText>
      </w:r>
      <w:r w:rsidRPr="00BD1C2C">
        <w:rPr>
          <w:lang w:val="en-US"/>
        </w:rPr>
        <w:fldChar w:fldCharType="separate"/>
      </w:r>
      <w:r w:rsidRPr="00BD1C2C">
        <w:rPr>
          <w:noProof/>
          <w:vertAlign w:val="superscript"/>
          <w:lang w:val="en-US"/>
        </w:rPr>
        <w:t>6</w:t>
      </w:r>
      <w:r w:rsidRPr="00BD1C2C">
        <w:rPr>
          <w:lang w:val="en-US"/>
        </w:rPr>
        <w:fldChar w:fldCharType="end"/>
      </w:r>
      <w:r w:rsidRPr="00BD1C2C">
        <w:rPr>
          <w:lang w:val="en-US"/>
        </w:rPr>
        <w:t>, 154 patients were treated with, and 424 were treated without protection devices, among those receiving stenting as randomly allocated (per-protocol). The International Carotid Stenting Study (ICSS)</w:t>
      </w:r>
      <w:r w:rsidRPr="00BD1C2C">
        <w:rPr>
          <w:lang w:val="en-US"/>
        </w:rPr>
        <w:fldChar w:fldCharType="begin" w:fldLock="1"/>
      </w:r>
      <w:r w:rsidRPr="00BD1C2C">
        <w:rPr>
          <w:lang w:val="en-US"/>
        </w:rPr>
        <w:instrText>ADDIN CSL_CITATION { "citationItems" : [ { "id" : "ITEM-1", "itemData" : { "DOI" : "10.1016/S0140-6736(10)60239-5", "ISBN" : "1474-547X", "ISSN" : "1474-547X", "PMID" : "20189239", "abstract" : "BACKGROUND: Stents are an alternative treatment to carotid endarterectomy for symptomatic carotid stenosis, but previous trials have not established equivalent safety and efficacy. We compared the safety of carotid artery stenting with that of carotid endarterectomy.\\n\\nMETHODS: The International Carotid Stenting Study (ICSS) is a multicentre, international, randomised controlled trial with blinded adjudication of outcomes. Patients with recently symptomatic carotid artery stenosis were randomly assigned in a 1:1 ratio to receive carotid artery stenting or carotid endarterectomy. Randomisation was by telephone call or fax to a central computerised service and was stratified by centre with minimisation for sex, age, contralateral occlusion, and side of the randomised artery. Patients and investigators were not masked to treatment assignment. Patients were followed up by independent clinicians not directly involved in delivering the randomised treatment. The primary outcome measure of the trial is the 3-year rate of fatal or disabling stroke in any territory, which has not been analysed yet. The main outcome measure for the interim safety analysis was the 120-day rate of stroke, death, or procedural myocardial infarction. Analysis was by intention to treat (ITT). This study is registered, number ISRCTN25337470.\\n\\nFINDINGS: The trial enrolled 1713 patients (stenting group, n=855; endarterectomy group, n=858). Two patients in the stenting group and one in the endarterectomy group withdrew immediately after randomisation, and were not included in the ITT analysis. Between randomisation and 120 days, there were 34 (Kaplan-Meier estimate 4.0%) events of disabling stroke or death in the stenting group compared with 27 (3.2%) events in the endarterectomy group (hazard ratio [HR] 1.28, 95% CI 0.77-2.11). The incidence of stroke, death, or procedural myocardial infarction was 8.5% in the stenting group compared with 5.2% in the endarterectomy group (72 vs 44 events; HR 1.69, 1.16-2.45, p=0.006). Risks of any stroke (65 vs 35 events; HR 1.92, 1.27-2.89) and all-cause death (19 vs seven events; HR 2.76, 1.16-6.56) were higher in the stenting group than in the endarterectomy group. Three procedural myocardial infarctions were recorded in the stenting group, all of which were fatal, compared with four, all non-fatal, in the endarterectomy group. There was one event of cranial nerve palsy in the stenting group compared with 45 in the endarterectomy group. There were a\u2026", "author" : [ { "dropping-particle" : "", "family" : "Ederle", "given" : "J\u00f6rg", "non-dropping-particle" : "", "parse-names" : false, "suffix" : "" }, { "dropping-particle" : "", "family" : "Dobson", "given" : "Joanna", "non-dropping-particle" : "", "parse-names" : false, "suffix" : "" }, { "dropping-particle" : "", "family" : "Featherstone", "given" : "Roland L", "non-dropping-particle" : "", "parse-names" : false, "suffix" : "" }, { "dropping-particle" : "", "family" : "Bonati", "given" : "Leo H", "non-dropping-particle" : "", "parse-names" : false, "suffix" : "" }, { "dropping-particle" : "", "family" : "Worp", "given" : "H Bart", "non-dropping-particle" : "van der", "parse-names" : false, "suffix" : "" }, { "dropping-particle" : "", "family" : "Borst", "given" : "Gert J", "non-dropping-particle" : "de", "parse-names" : false, "suffix" : "" }, { "dropping-particle" : "", "family" : "Lo", "given" : "T Hauw", "non-dropping-particle" : "", "parse-names" : false, "suffix" : "" }, { "dropping-particle" : "", "family" : "Gaines", "given" : "Peter", "non-dropping-particle" : "", "parse-names" : false, "suffix" : "" }, { "dropping-particle" : "", "family" : "Dorman", "given" : "Paul J", "non-dropping-particle" : "", "parse-names" : false, "suffix" : "" }, { "dropping-particle" : "", "family" : "Macdonald", "given" : "Sumaira", "non-dropping-particle" : "", "parse-names" : false, "suffix" : "" }, { "dropping-particle" : "", "family" : "Lyrer", "given" : "Philippe a", "non-dropping-particle" : "", "parse-names" : false, "suffix" : "" }, { "dropping-particle" : "", "family" : "Hendriks", "given" : "Johanna M", "non-dropping-particle" : "", "parse-names" : false, "suffix" : "" }, { "dropping-particle" : "", "family" : "McCollum", "given" : "Charles", "non-dropping-particle" : "", "parse-names" : false, "suffix" : "" }, { "dropping-particle" : "", "family" : "Nederkoorn", "given" : "Paul J", "non-dropping-particle" : "", "parse-names" : false, "suffix" : "" }, { "dropping-particle" : "", "family" : "Brown", "given" : "Martin M", "non-dropping-particle" : "", "parse-names" : false, "suffix" : "" } ], "container-title" : "Lancet", "id" : "ITEM-1", "issue" : "9719", "issued" : { "date-parts" : [ [ "2010" ] ] }, "page" : "985-97", "title" : "Carotid artery stenting compared with endarterectomy in patients with symptomatic carotid stenosis (International Carotid Stenting Study): an interim analysis of a randomised controlled trial.", "type" : "article-journal", "volume" : "375" }, "uris" : [ "http://www.mendeley.com/documents/?uuid=8e09deb4-ddc2-4985-b3d5-bbcbae724b64" ] } ], "mendeley" : { "formattedCitation" : "&lt;sup&gt;7&lt;/sup&gt;", "plainTextFormattedCitation" : "7", "previouslyFormattedCitation" : "(7)" }, "properties" : { "noteIndex" : 0 }, "schema" : "https://github.com/citation-style-language/schema/raw/master/csl-citation.json" }</w:instrText>
      </w:r>
      <w:r w:rsidRPr="00BD1C2C">
        <w:rPr>
          <w:lang w:val="en-US"/>
        </w:rPr>
        <w:fldChar w:fldCharType="separate"/>
      </w:r>
      <w:r w:rsidRPr="00BD1C2C">
        <w:rPr>
          <w:noProof/>
          <w:vertAlign w:val="superscript"/>
          <w:lang w:val="en-US"/>
        </w:rPr>
        <w:t>7</w:t>
      </w:r>
      <w:r w:rsidRPr="00BD1C2C">
        <w:rPr>
          <w:lang w:val="en-US"/>
        </w:rPr>
        <w:fldChar w:fldCharType="end"/>
      </w:r>
      <w:r w:rsidRPr="00BD1C2C">
        <w:rPr>
          <w:lang w:val="en-US"/>
        </w:rPr>
        <w:t>, reported on 593 protected and 208 unprotected per-protocol CAS procedures. The unprotected cohort in EVA 3S5 was too small for a comparative analysis of the data. However the analysis for ICSS data demonstrated a short-term rate for ipsilateral stroke and death with protection versus non-</w:t>
      </w:r>
      <w:proofErr w:type="gramStart"/>
      <w:r w:rsidRPr="00BD1C2C">
        <w:rPr>
          <w:lang w:val="en-US"/>
        </w:rPr>
        <w:t>protection  of</w:t>
      </w:r>
      <w:proofErr w:type="gramEnd"/>
      <w:r w:rsidRPr="00BD1C2C">
        <w:rPr>
          <w:lang w:val="en-US"/>
        </w:rPr>
        <w:t xml:space="preserve"> 6.1% versus 4.6%, and for SPACE the results were  8.3% versus 6.2%.      </w:t>
      </w:r>
    </w:p>
    <w:p w14:paraId="4A111FF6" w14:textId="77777777" w:rsidR="00251DFC" w:rsidRPr="00BD1C2C" w:rsidRDefault="00251DFC" w:rsidP="0000771C">
      <w:pPr>
        <w:rPr>
          <w:lang w:val="en-US"/>
        </w:rPr>
      </w:pPr>
      <w:r w:rsidRPr="00BD1C2C">
        <w:rPr>
          <w:lang w:val="en-US"/>
        </w:rPr>
        <w:t>In the North American Carotid Revascularization Endarterectomy versus Stenting Trial (CREST)</w:t>
      </w:r>
      <w:r w:rsidRPr="00BD1C2C">
        <w:rPr>
          <w:lang w:val="en-US"/>
        </w:rPr>
        <w:fldChar w:fldCharType="begin" w:fldLock="1"/>
      </w:r>
      <w:r w:rsidRPr="00BD1C2C">
        <w:rPr>
          <w:lang w:val="en-US"/>
        </w:rPr>
        <w:instrText>ADDIN CSL_CITATION { "citationItems" : [ { "id" : "ITEM-1", "itemData" : { "DOI" : "10.1056/NEJMoa040127", "ISSN" : "1533-4406", "PMID" : "15470212", "abstract" : "BACKGROUND Carotid endarterectomy is more effective than medical management in the prevention of stroke in patients with severe symptomatic or asymptomatic atherosclerotic carotid-artery stenosis. Stenting with the use of an emboli-protection device is a less invasive revascularization strategy than endarterectomy in carotid-artery disease. METHODS We conducted a randomized trial comparing carotid-artery stenting with the use of an emboli-protection device to endarterectomy in 334 patients with coexisting conditions that potentially increased the risk posed by endarterectomy and who had either a symptomatic carotid-artery stenosis of at least 50 percent of the luminal diameter or an asymptomatic stenosis of at least 80 percent. The primary end point of the study was the cumulative incidence of a major cardiovascular event at 1 year--a composite of death, stroke, or myocardial infarction within 30 days after the intervention or death or ipsilateral stroke between 31 days and 1 year. The study was designed to test the hypothesis that the less invasive strategy, stenting, was not inferior to endarterectomy. RESULTS The primary end point occurred in 20 patients randomly assigned to undergo carotid-artery stenting with an emboli-protection device (cumulative incidence, 12.2 percent) and in 32 patients randomly assigned to undergo endarterectomy (cumulative incidence, 20.1 percent; absolute difference, -7.9 percentage points; 95 percent confidence interval, -16.4 to 0.7 percentage points; P=0.004 for noninferiority, and P=0.053 for superiority). At one year, carotid revascularization was repeated in fewer patients who had received stents than in those who had undergone endarterectomy (cumulative incidence, 0.6 percent vs. 4.3 percent; P=0.04). CONCLUSIONS Among patients with severe carotid-artery stenosis and coexisting conditions, carotid stenting with the use of an emboli-protection device is not inferior to carotid endarterectomy.", "author" : [ { "dropping-particle" : "", "family" : "Yadav", "given" : "Jay S", "non-dropping-particle" : "", "parse-names" : false, "suffix" : "" }, { "dropping-particle" : "", "family" : "Wholey", "given" : "Mark H", "non-dropping-particle" : "", "parse-names" : false, "suffix" : "" }, { "dropping-particle" : "", "family" : "Kuntz", "given" : "Richard E", "non-dropping-particle" : "", "parse-names" : false, "suffix" : "" }, { "dropping-particle" : "", "family" : "Fayad", "given" : "Pierre", "non-dropping-particle" : "", "parse-names" : false, "suffix" : "" }, { "dropping-particle" : "", "family" : "Katzen", "given" : "Barry T", "non-dropping-particle" : "", "parse-names" : false, "suffix" : "" }, { "dropping-particle" : "", "family" : "Mishkel", "given" : "Gregory J", "non-dropping-particle" : "", "parse-names" : false, "suffix" : "" }, { "dropping-particle" : "", "family" : "Bajwa", "given" : "Tanvir K", "non-dropping-particle" : "", "parse-names" : false, "suffix" : "" }, { "dropping-particle" : "", "family" : "Whitlow", "given" : "Patrick", "non-dropping-particle" : "", "parse-names" : false, "suffix" : "" }, { "dropping-particle" : "", "family" : "Strickman", "given" : "Neil E", "non-dropping-particle" : "", "parse-names" : false, "suffix" : "" }, { "dropping-particle" : "", "family" : "Jaff", "given" : "Michael R", "non-dropping-particle" : "", "parse-names" : false, "suffix" : "" }, { "dropping-particle" : "", "family" : "Popma", "given" : "Jeffrey J", "non-dropping-particle" : "", "parse-names" : false, "suffix" : "" }, { "dropping-particle" : "", "family" : "Snead", "given" : "David B", "non-dropping-particle" : "", "parse-names" : false, "suffix" : "" }, { "dropping-particle" : "", "family" : "Cutlip", "given" : "Donald E", "non-dropping-particle" : "", "parse-names" : false, "suffix" : "" }, { "dropping-particle" : "", "family" : "Firth", "given" : "Brian G", "non-dropping-particle" : "", "parse-names" : false, "suffix" : "" }, { "dropping-particle" : "", "family" : "Ouriel", "given" : "Kenneth", "non-dropping-particle" : "", "parse-names" : false, "suffix" : "" }, { "dropping-particle" : "", "family" : "Stenting and Angioplasty with Protection in Patients at High Risk for Endarterectomy Investigators", "given" : "", "non-dropping-particle" : "", "parse-names" : false, "suffix" : "" } ], "container-title" : "The New England journal of medicine", "id" : "ITEM-1", "issue" : "15", "issued" : { "date-parts" : [ [ "2004", "10", "7" ] ] }, "page" : "1493-501", "title" : "Protected carotid-artery stenting versus endarterectomy in high-risk patients.", "type" : "article-journal", "volume" : "351" }, "uris" : [ "http://www.mendeley.com/documents/?uuid=c2e4bbb8-c3eb-309c-837b-a6d9f3cc3dd5" ] } ], "mendeley" : { "formattedCitation" : "&lt;sup&gt;8&lt;/sup&gt;", "plainTextFormattedCitation" : "8", "previouslyFormattedCitation" : "(8)" }, "properties" : { "noteIndex" : 0 }, "schema" : "https://github.com/citation-style-language/schema/raw/master/csl-citation.json" }</w:instrText>
      </w:r>
      <w:r w:rsidRPr="00BD1C2C">
        <w:rPr>
          <w:lang w:val="en-US"/>
        </w:rPr>
        <w:fldChar w:fldCharType="separate"/>
      </w:r>
      <w:r w:rsidRPr="00BD1C2C">
        <w:rPr>
          <w:noProof/>
          <w:vertAlign w:val="superscript"/>
          <w:lang w:val="en-US"/>
        </w:rPr>
        <w:t>8</w:t>
      </w:r>
      <w:r w:rsidRPr="00BD1C2C">
        <w:rPr>
          <w:lang w:val="en-US"/>
        </w:rPr>
        <w:fldChar w:fldCharType="end"/>
      </w:r>
      <w:r w:rsidRPr="00BD1C2C">
        <w:rPr>
          <w:lang w:val="en-US"/>
        </w:rPr>
        <w:t xml:space="preserve">, which recruited both patients with symptomatic and patients with asymptomatic carotid stenosis, use of protection devices was mandatory from the beginning. The rate any stroke or death up to 30 days after treatment in the stenting arm was 4.4%.  Among patients with symptomatic carotid disease however the peri-procedural stroke-or-death rate in CREST was 6.0%, which was </w:t>
      </w:r>
      <w:proofErr w:type="gramStart"/>
      <w:r w:rsidRPr="00BD1C2C">
        <w:rPr>
          <w:lang w:val="en-US"/>
        </w:rPr>
        <w:t>similar to</w:t>
      </w:r>
      <w:proofErr w:type="gramEnd"/>
      <w:r w:rsidRPr="00BD1C2C">
        <w:rPr>
          <w:lang w:val="en-US"/>
        </w:rPr>
        <w:t xml:space="preserve"> the combined results of the European trials. The currently available evidence therefore does not warrant the necessity of protection devices for CAS procedures.  </w:t>
      </w:r>
    </w:p>
    <w:p w14:paraId="0E03F796" w14:textId="77777777" w:rsidR="00251DFC" w:rsidRPr="00BD1C2C" w:rsidRDefault="00251DFC" w:rsidP="0000771C">
      <w:pPr>
        <w:rPr>
          <w:lang w:val="en-US"/>
        </w:rPr>
      </w:pPr>
    </w:p>
    <w:p w14:paraId="493DF974" w14:textId="77777777" w:rsidR="00251DFC" w:rsidRPr="00BD1C2C" w:rsidRDefault="00251DFC" w:rsidP="0000771C">
      <w:pPr>
        <w:rPr>
          <w:lang w:val="en-US"/>
        </w:rPr>
      </w:pPr>
      <w:r w:rsidRPr="00BD1C2C">
        <w:rPr>
          <w:lang w:val="en-US"/>
        </w:rPr>
        <w:lastRenderedPageBreak/>
        <w:t xml:space="preserve">The observation that the design of the stent might influence the OE rate has been observed by </w:t>
      </w:r>
      <w:proofErr w:type="spellStart"/>
      <w:r w:rsidRPr="00BD1C2C">
        <w:rPr>
          <w:lang w:val="en-US"/>
        </w:rPr>
        <w:t>Bosiers</w:t>
      </w:r>
      <w:proofErr w:type="spellEnd"/>
      <w:r w:rsidRPr="00BD1C2C">
        <w:rPr>
          <w:lang w:val="en-US"/>
        </w:rPr>
        <w:t xml:space="preserve"> and </w:t>
      </w:r>
      <w:proofErr w:type="spellStart"/>
      <w:r w:rsidRPr="00BD1C2C">
        <w:rPr>
          <w:lang w:val="en-US"/>
        </w:rPr>
        <w:t>Cremonesi</w:t>
      </w:r>
      <w:proofErr w:type="spellEnd"/>
      <w:r w:rsidRPr="00BD1C2C">
        <w:rPr>
          <w:lang w:val="en-US"/>
        </w:rPr>
        <w:t xml:space="preserve"> in 2006 already, who found in symptomatic carotid disease a rate of 2.2% for closed and 7.0% for open cell design.</w:t>
      </w:r>
      <w:r w:rsidRPr="00BD1C2C">
        <w:rPr>
          <w:lang w:val="en-US"/>
        </w:rPr>
        <w:fldChar w:fldCharType="begin" w:fldLock="1"/>
      </w:r>
      <w:r w:rsidRPr="00BD1C2C">
        <w:rPr>
          <w:lang w:val="en-US"/>
        </w:rPr>
        <w:instrText>ADDIN CSL_CITATION { "citationItems" : [ { "id" : "ITEM-1", "itemData" : { "DOI" : "10.1016/j.ejvs.2006.09.019", "ISSN" : "1078-5884", "PMID" : "17097897", "abstract" : "OBJECTIVES To identify if carotid stent design, especially free cell area, impacts on the 30-day rates for stroke, death and TIA after carotid artery stenting (CAS). MATERIAL AND METHODS A CAS database of 3179 consecutive CAS patients was retrospectively assessed. The distribution of neurological complications were analysed for association with the different stent types and designs. Events where subdivided into procedural and postprocedural events. RESULTS The overall combined rate of TIA, stroke and death was 2.8% at 30 days (late events 1.9%). The post-procedural event rate analyzed for differences stents varied from 1.2% using BSCI Carotid Wallstent to 5.9% using Medtronic Exponent. The late event rates varied from 1.2% to 3.4% for free cell areas &lt;2.5mm(2) and &gt;7.5mm(2) respectively (p&lt;0.05). Post-procedural event rate was 1.3% for closed cells and 3.4% for open cells. All these differences were highly pronounced among symptomatic patients (p&lt;0.0001). CONCLUSIONS After carotid stenting, complication rates vary according to stent type, free cell area and cell design. In the symptomatic population (and also in the total population), post-procedural complication rates are highest for the open cell types and increase with larger free cell area.", "author" : [ { "dropping-particle" : "", "family" : "Bosiers", "given" : "M", "non-dropping-particle" : "", "parse-names" : false, "suffix" : "" }, { "dropping-particle" : "", "family" : "Donato", "given" : "G", "non-dropping-particle" : "de", "parse-names" : false, "suffix" : "" }, { "dropping-particle" : "", "family" : "Deloose", "given" : "K", "non-dropping-particle" : "", "parse-names" : false, "suffix" : "" }, { "dropping-particle" : "", "family" : "Verbist", "given" : "J", "non-dropping-particle" : "", "parse-names" : false, "suffix" : "" }, { "dropping-particle" : "", "family" : "Peeters", "given" : "P", "non-dropping-particle" : "", "parse-names" : false, "suffix" : "" }, { "dropping-particle" : "", "family" : "Castriota", "given" : "F", "non-dropping-particle" : "", "parse-names" : false, "suffix" : "" }, { "dropping-particle" : "", "family" : "Cremonesi", "given" : "A", "non-dropping-particle" : "", "parse-names" : false, "suffix" : "" }, { "dropping-particle" : "", "family" : "Setacci", "given" : "C", "non-dropping-particle" : "", "parse-names" : false, "suffix" : "" } ], "container-title" : "European journal of vascular and endovascular surgery : the official journal of the European Society for Vascular Surgery", "id" : "ITEM-1", "issue" : "2", "issued" : { "date-parts" : [ [ "2007", "2" ] ] }, "page" : "135-41; discussion 142-3", "title" : "Does free cell area influence the outcome in carotid artery stenting?", "type" : "article-journal", "volume" : "33" }, "uris" : [ "http://www.mendeley.com/documents/?uuid=718d1b80-8a3d-3d7d-aab5-68d95b7c87b2" ] } ], "mendeley" : { "formattedCitation" : "&lt;sup&gt;4&lt;/sup&gt;", "plainTextFormattedCitation" : "4", "previouslyFormattedCitation" : "(4)" }, "properties" : { "noteIndex" : 0 }, "schema" : "https://github.com/citation-style-language/schema/raw/master/csl-citation.json" }</w:instrText>
      </w:r>
      <w:r w:rsidRPr="00BD1C2C">
        <w:rPr>
          <w:lang w:val="en-US"/>
        </w:rPr>
        <w:fldChar w:fldCharType="separate"/>
      </w:r>
      <w:r w:rsidRPr="00BD1C2C">
        <w:rPr>
          <w:noProof/>
          <w:vertAlign w:val="superscript"/>
          <w:lang w:val="en-US"/>
        </w:rPr>
        <w:t>4</w:t>
      </w:r>
      <w:r w:rsidRPr="00BD1C2C">
        <w:rPr>
          <w:lang w:val="en-US"/>
        </w:rPr>
        <w:fldChar w:fldCharType="end"/>
      </w:r>
      <w:r w:rsidRPr="00BD1C2C">
        <w:rPr>
          <w:lang w:val="en-US"/>
        </w:rPr>
        <w:t xml:space="preserve"> Jansen et al. </w:t>
      </w:r>
      <w:proofErr w:type="spellStart"/>
      <w:r w:rsidRPr="00BD1C2C">
        <w:rPr>
          <w:lang w:val="en-US"/>
        </w:rPr>
        <w:t>analysed</w:t>
      </w:r>
      <w:proofErr w:type="spellEnd"/>
      <w:r w:rsidRPr="00BD1C2C">
        <w:rPr>
          <w:lang w:val="en-US"/>
        </w:rPr>
        <w:t xml:space="preserve"> the data for SPACE patients and found an OE rate for closed cell stent: (5.6%, 95% CI: 3.7 to 8.2%]) and open cell stent (11.0%, 95% CI: 6.2 to 17.8%).</w:t>
      </w:r>
      <w:r w:rsidRPr="00BD1C2C">
        <w:rPr>
          <w:lang w:val="en-US"/>
        </w:rPr>
        <w:fldChar w:fldCharType="begin" w:fldLock="1"/>
      </w:r>
      <w:r w:rsidRPr="00BD1C2C">
        <w:rPr>
          <w:lang w:val="en-US"/>
        </w:rPr>
        <w:instrText>ADDIN CSL_CITATION { "citationItems" : [ { "id" : "ITEM-1", "itemData" : { "DOI" : "10.1161/STROKEAHA.108.534289", "ISSN" : "1524-4628", "PMID" : "19150863", "abstract" : "BACKGROUND AND PURPOSE The use of protection devices (PDs) and stents with different cell designs in carotid artery stenting (CAS) is a subject of controversy, and no data on their benefit are available from independently controlled multi-center studies. METHODS We analyzed data from the prospective randomized SPACE trial, which included 563 patients randomized to CAS and treated per protocol. A total of 145 patients were treated with a PD and 418 without. Of the patients, 436 were treated with an open cell stent and 127 with a closed cell stent. Use of PDs and choice of device was chosen at the individual discretion of the interventionalist. RESULTS The outcome event (OE) of the analysis (ipsilateral stroke or ipsilateral stroke death within 30 days) was reached in 26/418 patients (6.2%, 95% CI: 4.1 to 9.0%) in the nonprotection [corrected] group and in 12/145 (8.3%, 95% CI: 4.3 to 14.0%) patients in the protection [corrected] group (P=0.40). The OE rate was significantly lower in patients treated with a closed cell stent (5.6% [95% CI: 3.7 to 8.2%]) than in those treated with an open cell stent.(11.0%, 95% CI: 6.2 to 17.8%; P=0.029). Predilatation showed a tendency to but no significant reduction of OE rate. Overall, 49% of all OEs occurred directly periinterventionally, 10% during the navigation procedure and 41% postinterventionally, including 10% of hyperperfusion syndromes. Time point of the event was not influenced by the use of a PD. CONCLUSIONS This secondary analysis of data from the SPACE trial does not support the need for a PD in CAS. Stent design seems to have an impact on the OE rate. Our analysis demonstrates that the choice of the interventional material may have an impact on the periprocedural complication rate in CAS and that the development of more specific stent systems for the treatment of carotid stenosis may reduce the complication rate significantly.", "author" : [ { "dropping-particle" : "", "family" : "Jansen", "given" : "Olav", "non-dropping-particle" : "", "parse-names" : false, "suffix" : "" }, { "dropping-particle" : "", "family" : "Fiehler", "given" : "Jens", "non-dropping-particle" : "", "parse-names" : false, "suffix" : "" }, { "dropping-particle" : "", "family" : "Hartmann", "given" : "Marius", "non-dropping-particle" : "", "parse-names" : false, "suffix" : "" }, { "dropping-particle" : "", "family" : "Br\u00fcckmann", "given" : "Hartmut", "non-dropping-particle" : "", "parse-names" : false, "suffix" : "" } ], "container-title" : "Stroke; a journal of cerebral circulation", "id" : "ITEM-1", "issue" : "3", "issued" : { "date-parts" : [ [ "2009", "3" ] ] }, "page" : "841-6", "title" : "Protection or nonprotection in carotid stent angioplasty: the influence of interventional techniques on outcome data from the SPACE Trial.", "type" : "article-journal", "volume" : "40" }, "uris" : [ "http://www.mendeley.com/documents/?uuid=4eadc8bf-8828-3291-b869-bd9ae3576c62" ] } ], "mendeley" : { "formattedCitation" : "&lt;sup&gt;9&lt;/sup&gt;", "plainTextFormattedCitation" : "9", "previouslyFormattedCitation" : "(9)" }, "properties" : { "noteIndex" : 0 }, "schema" : "https://github.com/citation-style-language/schema/raw/master/csl-citation.json" }</w:instrText>
      </w:r>
      <w:r w:rsidRPr="00BD1C2C">
        <w:rPr>
          <w:lang w:val="en-US"/>
        </w:rPr>
        <w:fldChar w:fldCharType="separate"/>
      </w:r>
      <w:r w:rsidRPr="00BD1C2C">
        <w:rPr>
          <w:noProof/>
          <w:vertAlign w:val="superscript"/>
          <w:lang w:val="en-US"/>
        </w:rPr>
        <w:t>9</w:t>
      </w:r>
      <w:r w:rsidRPr="00BD1C2C">
        <w:rPr>
          <w:lang w:val="en-US"/>
        </w:rPr>
        <w:fldChar w:fldCharType="end"/>
      </w:r>
      <w:r w:rsidRPr="00BD1C2C">
        <w:rPr>
          <w:lang w:val="en-US"/>
        </w:rPr>
        <w:t xml:space="preserve"> The hypothesis generated on the basis of these findings was that the tight close cell design might cover the plaque better than the wide mesh of open cell stents and hence restrain more debris from escaping into the blood stream.  </w:t>
      </w:r>
    </w:p>
    <w:p w14:paraId="6997A750" w14:textId="77777777" w:rsidR="00251DFC" w:rsidRPr="00BD1C2C" w:rsidRDefault="00251DFC" w:rsidP="0000771C">
      <w:pPr>
        <w:rPr>
          <w:lang w:val="en-US"/>
        </w:rPr>
      </w:pPr>
    </w:p>
    <w:p w14:paraId="79FA8F89" w14:textId="77777777" w:rsidR="00251DFC" w:rsidRPr="00BD1C2C" w:rsidRDefault="00251DFC" w:rsidP="0000771C">
      <w:pPr>
        <w:rPr>
          <w:lang w:val="en-US"/>
        </w:rPr>
      </w:pPr>
      <w:r w:rsidRPr="00BD1C2C">
        <w:rPr>
          <w:lang w:val="en-US"/>
        </w:rPr>
        <w:t xml:space="preserve">It may not only be the actual placement of the stent onto the stenosis, which causes mechanical impact on intact intima and the atheromatous plaque. Single or multiple balloon dilatations of the stenosis before or after stent insertion (so-called pre- and </w:t>
      </w:r>
      <w:proofErr w:type="spellStart"/>
      <w:r w:rsidRPr="00BD1C2C">
        <w:rPr>
          <w:lang w:val="en-US"/>
        </w:rPr>
        <w:t>postdilatation</w:t>
      </w:r>
      <w:proofErr w:type="spellEnd"/>
      <w:r w:rsidRPr="00BD1C2C">
        <w:rPr>
          <w:lang w:val="en-US"/>
        </w:rPr>
        <w:t>) have been suspected to be a potential cause of embolic events, which might be even more important in combination with open or closed cell design.</w:t>
      </w:r>
      <w:r w:rsidRPr="00BD1C2C">
        <w:rPr>
          <w:lang w:val="en-US"/>
        </w:rPr>
        <w:fldChar w:fldCharType="begin" w:fldLock="1"/>
      </w:r>
      <w:r w:rsidRPr="00BD1C2C">
        <w:rPr>
          <w:lang w:val="en-US"/>
        </w:rPr>
        <w:instrText>ADDIN CSL_CITATION { "citationItems" : [ { "id" : "ITEM-1", "itemData" : { "DOI" : "10.1016/j.ijcard.2008.08.012", "ISSN" : "1874-1754", "PMID" : "18793813", "abstract" : "BACKGROUND A controversial aspect of carotid artery stenting (CAS) is the placement of a stent with or without predilation. The study was designed to test the hypothesis that direct stenting (DS) was not inferior to CAS with predilation. METHODS Elective CAS with filter protection was performed in 205 consecutive, unselected patients with carotid artery stenosis (&gt;50% if symptomatic and &gt; or =75% if asymptomatic by Doppler assessment) who were randomly assigned to CAS with predilation (n=100) or direct stenting (DS, n=105). Filter and stent selection were left to the operator's discretion. The study end-point was the angiographic success, defined as &lt; or =30% angiographic residual stenosis after CAS without abnormal angiographic findings in cerebral circulation and without cross-over to predilation in the DS group. RESULTS At baseline, patient clinical characteristics and stenosis anatomic features did not differ between groups. Angiographic success was 99% and 97%, p=0.33, in predilation and DS, respectively. No cross-over to predilation occurred in the DS group. Procedural time was shorter in DS as compared to predilation (24.3+/-7% versus 19.9+/-6%, p=0.001) and visible debris were more frequently captured in predilation as compared to DS (50% versus 36%, p=0.003). No peri-procedural and 30-day death or major stroke occurred in both groups. Minor stroke and TIA rates were similar in either group (2% versus 0% and 8% versus 5.7%, p=ns, respectively). CONCLUSION In an unselected, consecutive series of patients submitted to CAS, DS is a feasible technique and is not inferior to CAS with predilation.", "author" : [ { "dropping-particle" : "", "family" : "Montorsi", "given" : "Piero", "non-dropping-particle" : "", "parse-names" : false, "suffix" : "" }, { "dropping-particle" : "", "family" : "Galli", "given" : "Stefano", "non-dropping-particle" : "", "parse-names" : false, "suffix" : "" }, { "dropping-particle" : "", "family" : "Ravagnani", "given" : "Paolo", "non-dropping-particle" : "", "parse-names" : false, "suffix" : "" }, { "dropping-particle" : "", "family" : "Ruchin", "given" : "Peter", "non-dropping-particle" : "", "parse-names" : false, "suffix" : "" }, { "dropping-particle" : "", "family" : "Lualdi", "given" : "Alessandro", "non-dropping-particle" : "", "parse-names" : false, "suffix" : "" }, { "dropping-particle" : "", "family" : "Fabbiocchi", "given" : "Franco", "non-dropping-particle" : "", "parse-names" : false, "suffix" : "" }, { "dropping-particle" : "", "family" : "Trabattoni", "given" : "Daniela", "non-dropping-particle" : "", "parse-names" : false, "suffix" : "" }, { "dropping-particle" : "", "family" : "Veglia", "given" : "Fabrizio", "non-dropping-particle" : "", "parse-names" : false, "suffix" : "" }, { "dropping-particle" : "", "family" : "Ali", "given" : "Sarah Ghulam", "non-dropping-particle" : "", "parse-names" : false, "suffix" : "" }, { "dropping-particle" : "", "family" : "Bartorelli", "given" : "Antonio L", "non-dropping-particle" : "", "parse-names" : false, "suffix" : "" } ], "container-title" : "International journal of cardiology", "id" : "ITEM-1", "issue" : "3", "issued" : { "date-parts" : [ [ "2010", "2", "4" ] ] }, "page" : "233-8", "title" : "Randomized trial of predilation versus direct stenting for treatment of carotid artery stenosis.", "type" : "article-journal", "volume" : "138" }, "uris" : [ "http://www.mendeley.com/documents/?uuid=4ff8ec3f-6bb4-35be-be50-ea6eb536f342" ] } ], "mendeley" : { "formattedCitation" : "&lt;sup&gt;10&lt;/sup&gt;", "plainTextFormattedCitation" : "10", "previouslyFormattedCitation" : "(10)" }, "properties" : { "noteIndex" : 0 }, "schema" : "https://github.com/citation-style-language/schema/raw/master/csl-citation.json" }</w:instrText>
      </w:r>
      <w:r w:rsidRPr="00BD1C2C">
        <w:rPr>
          <w:lang w:val="en-US"/>
        </w:rPr>
        <w:fldChar w:fldCharType="separate"/>
      </w:r>
      <w:r w:rsidRPr="00BD1C2C">
        <w:rPr>
          <w:noProof/>
          <w:vertAlign w:val="superscript"/>
          <w:lang w:val="en-US"/>
        </w:rPr>
        <w:t>10</w:t>
      </w:r>
      <w:r w:rsidRPr="00BD1C2C">
        <w:rPr>
          <w:lang w:val="en-US"/>
        </w:rPr>
        <w:fldChar w:fldCharType="end"/>
      </w:r>
    </w:p>
    <w:p w14:paraId="1C61750E" w14:textId="77777777" w:rsidR="00251DFC" w:rsidRPr="00BD1C2C" w:rsidRDefault="00251DFC" w:rsidP="0000771C">
      <w:pPr>
        <w:rPr>
          <w:lang w:val="en-US"/>
        </w:rPr>
      </w:pPr>
    </w:p>
    <w:p w14:paraId="61D45E58" w14:textId="77777777" w:rsidR="00251DFC" w:rsidRPr="00BD1C2C" w:rsidRDefault="00251DFC" w:rsidP="0000771C">
      <w:pPr>
        <w:rPr>
          <w:lang w:val="en-US"/>
        </w:rPr>
      </w:pPr>
      <w:r w:rsidRPr="00BD1C2C">
        <w:rPr>
          <w:lang w:val="en-US"/>
        </w:rPr>
        <w:t>The influence of clinical and demographic patient characteristics on the risk of peri-procedural stroke in stenting has been an important focus of research: most consistently, increasing age has been associated with increasing stroke risk.</w:t>
      </w:r>
      <w:r w:rsidRPr="00BD1C2C">
        <w:rPr>
          <w:lang w:val="en-US"/>
        </w:rPr>
        <w:fldChar w:fldCharType="begin" w:fldLock="1"/>
      </w:r>
      <w:r w:rsidRPr="00BD1C2C">
        <w:rPr>
          <w:lang w:val="en-US"/>
        </w:rPr>
        <w:instrText>ADDIN CSL_CITATION { "citationItems" : [ { "id" : "ITEM-1", "itemData" : { "DOI" : "10.1161/STROKEAHA.109.562041", "ISSN" : "1524-4628", "PMID" : "19892997", "abstract" : "BACKGROUND AND PURPOSE Carotid angioplasty and stenting (CAS) has not been shown to be as safe as carotid endarterectomy (CEA) with regard to the risks of periprocedural complications, but beyond the perioperative period, the risks are comparable, suggesting that CAS may be an acceptable option in selected patients. However, risk factors for perioperative stroke and death have not been clearly established. We aimed to estimate the 30-day absolute risks of stroke or death after CAS and investigate sources of heterogeneity. METHODS We sought articles published between January 1990 and June 2008 by using MEDLINE, EMBASE, the COCHRANE databases, hand-searching, abstract books from conferences, and official websites. Two reviewers independently and in duplicate selected articles on the risks of CAS, irrespective of the type of treatment, study design, setting, or language. The 2 reviewers abstracted data and assessed the quality of the studies. RESULTS Two hundred six independent studies (with 54 713 patients) were included. The overall 30-day risk of stroke or death was 4.7% (95% CI, 4.1 to 5.2) with substantial heterogeneity across studies. Symptomatic patients were about twice as likely as those with asymptomatic stenoses to have complications. The 30-day risk of stroke or death was 7.6% (6.3 [corrected] to 9.1) in symptomatic and 3.3% (2.6 to 4.1) in asymptomatic patients. Risks increased with age, hypertension, and history of coronary artery disease; were unrelated to sex and the presence of contralateral carotid occlusion; and were lower in patients who had carotid restenosis after CEA and in those treated with the use of a cerebral protection device. Risks have also decreased over time. CONCLUSIONS Risks of CAS vary substantially across studies. Risks are overall higher than those of CEA in symptomatic patients. Some factors are likely to help select good candidates for CAS.", "author" : [ { "dropping-particle" : "", "family" : "Touz\u00e9", "given" : "Emmanuel", "non-dropping-particle" : "", "parse-names" : false, "suffix" : "" }, { "dropping-particle" : "", "family" : "Trinquart", "given" : "Ludovic", "non-dropping-particle" : "", "parse-names" : false, "suffix" : "" }, { "dropping-particle" : "", "family" : "Chatellier", "given" : "Gilles", "non-dropping-particle" : "", "parse-names" : false, "suffix" : "" }, { "dropping-particle" : "", "family" : "Mas", "given" : "Jean-Louis", "non-dropping-particle" : "", "parse-names" : false, "suffix" : "" } ], "container-title" : "Stroke; a journal of cerebral circulation", "id" : "ITEM-1", "issue" : "12", "issued" : { "date-parts" : [ [ "2009", "12" ] ] }, "page" : "e683-93", "title" : "Systematic review of the perioperative risks of stroke or death after carotid angioplasty and stenting.", "type" : "article-journal", "volume" : "40" }, "uris" : [ "http://www.mendeley.com/documents/?uuid=7157083d-c917-34ff-a7a1-ddbbd8402554" ] } ], "mendeley" : { "formattedCitation" : "&lt;sup&gt;11&lt;/sup&gt;", "plainTextFormattedCitation" : "11", "previouslyFormattedCitation" : "(11)" }, "properties" : { "noteIndex" : 0 }, "schema" : "https://github.com/citation-style-language/schema/raw/master/csl-citation.json" }</w:instrText>
      </w:r>
      <w:r w:rsidRPr="00BD1C2C">
        <w:rPr>
          <w:lang w:val="en-US"/>
        </w:rPr>
        <w:fldChar w:fldCharType="separate"/>
      </w:r>
      <w:r w:rsidRPr="00BD1C2C">
        <w:rPr>
          <w:noProof/>
          <w:vertAlign w:val="superscript"/>
          <w:lang w:val="en-US"/>
        </w:rPr>
        <w:t>11</w:t>
      </w:r>
      <w:r w:rsidRPr="00BD1C2C">
        <w:rPr>
          <w:lang w:val="en-US"/>
        </w:rPr>
        <w:fldChar w:fldCharType="end"/>
      </w:r>
      <w:r w:rsidRPr="00BD1C2C">
        <w:rPr>
          <w:lang w:val="en-US"/>
        </w:rPr>
        <w:t xml:space="preserve"> The initial pooled analysis of the European trials in the CSTC showed that the risks of stroke or death in the short-term were similar between CAS and CEA in patients younger than 70 years, whereas the comparison strongly </w:t>
      </w:r>
      <w:proofErr w:type="spellStart"/>
      <w:r w:rsidRPr="00BD1C2C">
        <w:rPr>
          <w:lang w:val="en-US"/>
        </w:rPr>
        <w:t>favoured</w:t>
      </w:r>
      <w:proofErr w:type="spellEnd"/>
      <w:r w:rsidRPr="00BD1C2C">
        <w:rPr>
          <w:lang w:val="en-US"/>
        </w:rPr>
        <w:t xml:space="preserve"> CEA in the older patient group. As this was a completely unexpected finding at the time these trials were designed, age-related anatomical and physiological data have not been prospectively defined and systematically collected in the trials. Therefore, the exact mechanism mediating the interaction between age and the relative risk of complications with stenting versus endarterectomy remains to be determined; it is conceivable that an increase in the general burden of atherosclerosis (including the aortic arch) or changes in the vascular anatomy of supra-aortic arteries or in the composition of atherosclerotic plaques render elderly patients more susceptible to thromboembolic complications during CAS. Other clinical variables, such as type of the most recent </w:t>
      </w:r>
      <w:proofErr w:type="spellStart"/>
      <w:r w:rsidRPr="00BD1C2C">
        <w:rPr>
          <w:lang w:val="en-US"/>
        </w:rPr>
        <w:t>ischaemic</w:t>
      </w:r>
      <w:proofErr w:type="spellEnd"/>
      <w:r w:rsidRPr="00BD1C2C">
        <w:rPr>
          <w:lang w:val="en-US"/>
        </w:rPr>
        <w:t xml:space="preserve"> event before </w:t>
      </w:r>
      <w:proofErr w:type="spellStart"/>
      <w:r w:rsidRPr="00BD1C2C">
        <w:rPr>
          <w:lang w:val="en-US"/>
        </w:rPr>
        <w:t>randomisation</w:t>
      </w:r>
      <w:proofErr w:type="spellEnd"/>
      <w:r w:rsidRPr="00BD1C2C">
        <w:rPr>
          <w:lang w:val="en-US"/>
        </w:rPr>
        <w:t xml:space="preserve"> and delay between the event and treatment might be associated with plaque instability. Any of these factors might therefore influence the impact of stent cell design, use or protection devices or pre- or </w:t>
      </w:r>
      <w:proofErr w:type="spellStart"/>
      <w:r w:rsidRPr="00BD1C2C">
        <w:rPr>
          <w:lang w:val="en-US"/>
        </w:rPr>
        <w:t>postdilatation</w:t>
      </w:r>
      <w:proofErr w:type="spellEnd"/>
      <w:r w:rsidRPr="00BD1C2C">
        <w:rPr>
          <w:lang w:val="en-US"/>
        </w:rPr>
        <w:t xml:space="preserve"> on procedural risks, and should therefore be </w:t>
      </w:r>
      <w:proofErr w:type="spellStart"/>
      <w:r w:rsidRPr="00BD1C2C">
        <w:rPr>
          <w:lang w:val="en-US"/>
        </w:rPr>
        <w:t>analysed</w:t>
      </w:r>
      <w:proofErr w:type="spellEnd"/>
      <w:r w:rsidRPr="00BD1C2C">
        <w:rPr>
          <w:lang w:val="en-US"/>
        </w:rPr>
        <w:t xml:space="preserve"> in conjunction with the technical variables. </w:t>
      </w:r>
    </w:p>
    <w:p w14:paraId="2B344204" w14:textId="77777777" w:rsidR="00251DFC" w:rsidRPr="00BD1C2C" w:rsidRDefault="00251DFC" w:rsidP="0000771C">
      <w:pPr>
        <w:rPr>
          <w:lang w:val="en-US"/>
        </w:rPr>
      </w:pPr>
      <w:r w:rsidRPr="00BD1C2C">
        <w:rPr>
          <w:lang w:val="en-US"/>
        </w:rPr>
        <w:t xml:space="preserve">Due to limitations in sample size, such analyses could not be performed with sufficient statistical power at the level of individual trials. </w:t>
      </w:r>
    </w:p>
    <w:p w14:paraId="0ED56A73" w14:textId="77777777" w:rsidR="00251DFC" w:rsidRPr="00BD1C2C" w:rsidRDefault="00251DFC" w:rsidP="0000771C">
      <w:pPr>
        <w:rPr>
          <w:lang w:val="en-US"/>
        </w:rPr>
      </w:pPr>
    </w:p>
    <w:p w14:paraId="2C616CD5" w14:textId="77777777" w:rsidR="00251DFC" w:rsidRPr="00BD1C2C" w:rsidRDefault="00251DFC" w:rsidP="0000771C">
      <w:pPr>
        <w:rPr>
          <w:lang w:val="en-US"/>
        </w:rPr>
      </w:pPr>
      <w:r w:rsidRPr="00BD1C2C">
        <w:rPr>
          <w:lang w:val="en-US"/>
        </w:rPr>
        <w:t>Objective</w:t>
      </w:r>
    </w:p>
    <w:p w14:paraId="309903EB" w14:textId="77777777" w:rsidR="00251DFC" w:rsidRPr="00BD1C2C" w:rsidRDefault="00251DFC" w:rsidP="0000771C">
      <w:pPr>
        <w:rPr>
          <w:lang w:val="en-US"/>
        </w:rPr>
      </w:pPr>
    </w:p>
    <w:p w14:paraId="79380E5B" w14:textId="77777777" w:rsidR="00251DFC" w:rsidRPr="00BD1C2C" w:rsidRDefault="00251DFC" w:rsidP="0000771C">
      <w:pPr>
        <w:rPr>
          <w:lang w:val="en-US"/>
        </w:rPr>
      </w:pPr>
      <w:r w:rsidRPr="00BD1C2C">
        <w:rPr>
          <w:lang w:val="en-US"/>
        </w:rPr>
        <w:t>To overcome the limitations of single trials, the investigators of the European-led stenting trials (EVA-3S, SPACE, and ICSS)</w:t>
      </w:r>
      <w:r w:rsidRPr="00BD1C2C">
        <w:rPr>
          <w:lang w:val="en-US"/>
        </w:rPr>
        <w:fldChar w:fldCharType="begin" w:fldLock="1"/>
      </w:r>
      <w:r w:rsidRPr="00BD1C2C">
        <w:rPr>
          <w:lang w:val="en-US"/>
        </w:rPr>
        <w:instrText>ADDIN CSL_CITATION { "citationItems" : [ { "id" : "ITEM-1", "itemData" : { "DOI" : "10.1056/NEJMoa061752", "ISSN" : "1533-4406", "PMID" : "17050890", "abstract" : "BACKGROUND Carotid stenting is less invasive than endarterectomy, but it is unclear whether it is as safe in patients with symptomatic carotid-artery stenosis. METHODS We conducted a multicenter, randomized, noninferiority trial to compare stenting with endarterectomy in patients with a symptomatic carotid stenosis of at least 60%. The primary end point was the incidence of any stroke or death within 30 days after treatment. RESULTS The trial was stopped prematurely after the inclusion of 527 patients for reasons of both safety and futility. The 30-day incidence of any stroke or death was 3.9% after endarterectomy (95% confidence interval [CI], 2.0 to 7.2) and 9.6% after stenting (95% CI, 6.4 to 14.0); the relative risk of any stroke or death after stenting as compared with endarterectomy was 2.5 (95% CI, 1.2 to 5.1). The 30-day incidence of disabling stroke or death was 1.5% after endarterectomy (95% CI, 0.5 to 4.2) and 3.4% after stenting (95% CI, 1.7 to 6.7); the relative risk was 2.2 (95% CI, 0.7 to 7.2). At 6 months, the incidence of any stroke or death was 6.1% after endarterectomy and 11.7% after stenting (P=0.02). There were more major local complications after stenting and more systemic complications (mainly pulmonary) after endarterectomy, but the differences were not significant. Cranial-nerve injury was more common after endarterectomy than after stenting. CONCLUSIONS In this study of patients with symptomatic carotid stenosis of 60% or more, the rates of death and stroke at 1 and 6 months were lower with endarterectomy than with stenting. (ClinicalTrials.gov number, NCT00190398 [ClinicalTrials.gov].).", "author" : [ { "dropping-particle" : "", "family" : "Mas", "given" : "Jean-Louis", "non-dropping-particle" : "", "parse-names" : false, "suffix" : "" }, { "dropping-particle" : "", "family" : "Chatellier", "given" : "Gilles", "non-dropping-particle" : "", "parse-names" : false, "suffix" : "" }, { "dropping-particle" : "", "family" : "Beyssen", "given" : "Bernard", "non-dropping-particle" : "", "parse-names" : false, "suffix" : "" }, { "dropping-particle" : "", "family" : "Branchereau", "given" : "Alain", "non-dropping-particle" : "", "parse-names" : false, "suffix" : "" }, { "dropping-particle" : "", "family" : "Moulin", "given" : "Thierry", "non-dropping-particle" : "", "parse-names" : false, "suffix" : "" }, { "dropping-particle" : "", "family" : "Becquemin", "given" : "Jean-Pierre", "non-dropping-particle" : "", "parse-names" : false, "suffix" : "" }, { "dropping-particle" : "", "family" : "Larrue", "given" : "Vincent", "non-dropping-particle" : "", "parse-names" : false, "suffix" : "" }, { "dropping-particle" : "", "family" : "Li\u00e8vre", "given" : "Michel", "non-dropping-particle" : "", "parse-names" : false, "suffix" : "" }, { "dropping-particle" : "", "family" : "Leys", "given" : "Didier", "non-dropping-particle" : "", "parse-names" : false, "suffix" : "" }, { "dropping-particle" : "", "family" : "Bonneville", "given" : "Jean-Fran\u00e7ois", "non-dropping-particle" : "", "parse-names" : false, "suffix" : "" }, { "dropping-particle" : "", "family" : "Watelet", "given" : "Jacques", "non-dropping-particle" : "", "parse-names" : false, "suffix" : "" }, { "dropping-particle" : "", "family" : "Pruvo", "given" : "Jean-Pierre", "non-dropping-particle" : "", "parse-names" : false, "suffix" : "" }, { "dropping-particle" : "", "family" : "Albucher", "given" : "Jean-Fran\u00e7ois", "non-dropping-particle" : "", "parse-names" : false, "suffix" : "" }, { "dropping-particle" : "", "family" : "Viguier", "given" : "Alain", "non-dropping-particle" : "", "parse-names" : false, "suffix" : "" }, { "dropping-particle" : "", "family" : "Piquet", "given" : "Philippe", "non-dropping-particle" : "", "parse-names" : false, "suffix" : "" }, { "dropping-particle" : "", "family" : "Garnier", "given" : "Pierre", "non-dropping-particle" : "", "parse-names" : false, "suffix" : "" }, { "dropping-particle" : "", "family" : "Viader", "given" : "Fausto", "non-dropping-particle" : "", "parse-names" : false, "suffix" : "" }, { "dropping-particle" : "", "family" : "Touz\u00e9", "given" : "Emmanuel", "non-dropping-particle" : "", "parse-names" : false, "suffix" : "" }, { "dropping-particle" : "", "family" : "Giroud", "given" : "Maurice", "non-dropping-particle" : "", "parse-names" : false, "suffix" : "" }, { "dropping-particle" : "", "family" : "Hosseini", "given" : "Hassan", "non-dropping-particle" : "", "parse-names" : false, "suffix" : "" }, { "dropping-particle" : "", "family" : "Pillet", "given" : "Jean-Christophe", "non-dropping-particle" : "", "parse-names" : false, "suffix" : "" }, { "dropping-particle" : "", "family" : "Favrole", "given" : "Pascal", "non-dropping-particle" : "", "parse-names" : false, "suffix" : "" }, { "dropping-particle" : "", "family" : "Neau", "given" : "Jean-Philippe", "non-dropping-particle" : "", "parse-names" : false, "suffix" : "" }, { "dropping-particle" : "", "family" : "Ducrocq", "given" : "Xavier", "non-dropping-particle" : "", "parse-names" : false, "suffix" : "" }, { "dropping-particle" : "", "family" : "EVA-3S Investigators", "given" : "", "non-dropping-particle" : "", "parse-names" : false, "suffix" : "" } ], "container-title" : "The New England journal of medicine", "id" : "ITEM-1", "issue" : "16", "issued" : { "date-parts" : [ [ "2006", "10", "19" ] ] }, "page" : "1660-71", "title" : "Endarterectomy versus stenting in patients with symptomatic severe carotid stenosis.", "type" : "article-journal", "volume" : "355" }, "uris" : [ "http://www.mendeley.com/documents/?uuid=a8d149b7-3b86-3d58-96a7-1ceede7a1e32" ] }, { "id" : "ITEM-2", "itemData" : { "DOI" : "10.1016/S1474-4422(08)70196-0", "ISSN" : "1474-4422", "PMID" : "18774746", "abstract" : "BACKGROUND The SPACE trial is a multinational, prospective, randomised study to test the hypothesis that carotid artery stenting is not inferior to carotid endarterectomy for treating patients with severe symptomatic carotid artery stenosis. We did not prove non-inferiority of carotid artery stenting compared with carotid endarterectomy for the 30-day complication rate, and we now report the results at 2 years. METHODS Between March, 2001, and February, 2006, patients with symptomatic, severe (&gt;or=70%) carotid artery stenosis were recruited to this non-inferiority trial and randomly assigned with a block randomisation design to have carotid artery angioplasty with stenting or carotid artery endarterectomy. 2-year endpoints include several clinical endpoints and the incidence of recurrent carotid stenosis of at least 70%. Clinical and vascular follow-up was done by a certified neurologist. Analyses were by intention to treat and per protocol. This trial is registered with ISRCTN, number 57874028.12. FINDINGS 1 214 patients were randomly assigned (613 were randomly assigned to carotid angioplasty with stenting and 601 were randomly assigned to carotid endarterectomy). In both the intention-to-treat and per-protocol analyses the Kaplan-Meier estimates of ipsilateral ischaemic strokes up to 2 years after the procedure and any periprocedural stroke or death do not differ between the carotid artery stenting and the carotid endarterectomy groups (intention to treat 9.5%vs 8.8%; hazard ratio (HR) 1.10, 95%CI 0.75 to 1.61; log-rank p=0.62; per protocol 9.4%vs 7.8%; HR 1.23, 95%CI 0.82 to 1.83; log-rank p=0.31). In both the intention-to-treat and per-protocol populations, recurrent stenosis of 70% or more is significantly more frequent in the carotid artery stenting group compared with the carotid endarterectomy group, with a life-table estimate of 10.7% versus 4.6% (p=0.0009) and 11.1% versus 4.6% (p=0.0007), respectively. Only two incidences of recurrent stenoses after carotid artery stenting led to neurological symptoms. INTERPRETATION After 2 years' follow-up, the rate of recurrent ipsilateral ischaemic strokes reported in the SPACE trial is similar for both treatment groups. The incidence of recurrent carotid stenosis at 2 years, as defined by ultrasound, is significantly higher after carotid artery stenting. However, it cannot be excluded that the degree of in-stent stenosis is slightly overestimated by conventional ultrasound criteria.", "author" : [ { "dropping-particle" : "", "family" : "Eckstein", "given" : "Hans-Henning", "non-dropping-particle" : "", "parse-names" : false, "suffix" : "" }, { "dropping-particle" : "", "family" : "Ringleb", "given" : "Peter", "non-dropping-particle" : "", "parse-names" : false, "suffix" : "" }, { "dropping-particle" : "", "family" : "Allenberg", "given" : "Jens-Rainer", "non-dropping-particle" : "", "parse-names" : false, "suffix" : "" }, { "dropping-particle" : "", "family" : "Berger", "given" : "J\u00fcrgen", "non-dropping-particle" : "", "parse-names" : false, "suffix" : "" }, { "dropping-particle" : "", "family" : "Fraedrich", "given" : "Gustav", "non-dropping-particle" : "", "parse-names" : false, "suffix" : "" }, { "dropping-particle" : "", "family" : "Hacke", "given" : "Werner", "non-dropping-particle" : "", "parse-names" : false, "suffix" : "" }, { "dropping-particle" : "", "family" : "Hennerici", "given" : "Michael", "non-dropping-particle" : "", "parse-names" : false, "suffix" : "" }, { "dropping-particle" : "", "family" : "Stingele", "given" : "Robert", "non-dropping-particle" : "", "parse-names" : false, "suffix" : "" }, { "dropping-particle" : "", "family" : "Fiehler", "given" : "Jens", "non-dropping-particle" : "", "parse-names" : false, "suffix" : "" }, { "dropping-particle" : "", "family" : "Zeumer", "given" : "Hermann", "non-dropping-particle" : "", "parse-names" : false, "suffix" : "" }, { "dropping-particle" : "", "family" : "Jansen", "given" : "Olav", "non-dropping-particle" : "", "parse-names" : false, "suffix" : "" } ], "container-title" : "The Lancet. Neurology", "id" : "ITEM-2", "issue" : "10", "issued" : { "date-parts" : [ [ "2008", "10" ] ] }, "page" : "893-902", "title" : "Results of the Stent-Protected Angioplasty versus Carotid Endarterectomy (SPACE) study to treat symptomatic stenoses at 2 years: a multinational, prospective, randomised trial.", "type" : "article-journal", "volume" : "7" }, "uris" : [ "http://www.mendeley.com/documents/?uuid=10eab33c-0510-3d24-876a-cd50cb7f7227" ] }, { "id" : "ITEM-3", "itemData" : { "DOI" : "10.1016/S0140-6736(10)60239-5", "ISBN" : "1474-547X", "ISSN" : "1474-547X", "PMID" : "20189239", "abstract" : "BACKGROUND: Stents are an alternative treatment to carotid endarterectomy for symptomatic carotid stenosis, but previous trials have not established equivalent safety and efficacy. We compared the safety of carotid artery stenting with that of carotid endarterectomy.\\n\\nMETHODS: The International Carotid Stenting Study (ICSS) is a multicentre, international, randomised controlled trial with blinded adjudication of outcomes. Patients with recently symptomatic carotid artery stenosis were randomly assigned in a 1:1 ratio to receive carotid artery stenting or carotid endarterectomy. Randomisation was by telephone call or fax to a central computerised service and was stratified by centre with minimisation for sex, age, contralateral occlusion, and side of the randomised artery. Patients and investigators were not masked to treatment assignment. Patients were followed up by independent clinicians not directly involved in delivering the randomised treatment. The primary outcome measure of the trial is the 3-year rate of fatal or disabling stroke in any territory, which has not been analysed yet. The main outcome measure for the interim safety analysis was the 120-day rate of stroke, death, or procedural myocardial infarction. Analysis was by intention to treat (ITT). This study is registered, number ISRCTN25337470.\\n\\nFINDINGS: The trial enrolled 1713 patients (stenting group, n=855; endarterectomy group, n=858). Two patients in the stenting group and one in the endarterectomy group withdrew immediately after randomisation, and were not included in the ITT analysis. Between randomisation and 120 days, there were 34 (Kaplan-Meier estimate 4.0%) events of disabling stroke or death in the stenting group compared with 27 (3.2%) events in the endarterectomy group (hazard ratio [HR] 1.28, 95% CI 0.77-2.11). The incidence of stroke, death, or procedural myocardial infarction was 8.5% in the stenting group compared with 5.2% in the endarterectomy group (72 vs 44 events; HR 1.69, 1.16-2.45, p=0.006). Risks of any stroke (65 vs 35 events; HR 1.92, 1.27-2.89) and all-cause death (19 vs seven events; HR 2.76, 1.16-6.56) were higher in the stenting group than in the endarterectomy group. Three procedural myocardial infarctions were recorded in the stenting group, all of which were fatal, compared with four, all non-fatal, in the endarterectomy group. There was one event of cranial nerve palsy in the stenting group compared with 45 in the endarterectomy group. There were a\u2026", "author" : [ { "dropping-particle" : "", "family" : "Ederle", "given" : "J\u00f6rg", "non-dropping-particle" : "", "parse-names" : false, "suffix" : "" }, { "dropping-particle" : "", "family" : "Dobson", "given" : "Joanna", "non-dropping-particle" : "", "parse-names" : false, "suffix" : "" }, { "dropping-particle" : "", "family" : "Featherstone", "given" : "Roland L", "non-dropping-particle" : "", "parse-names" : false, "suffix" : "" }, { "dropping-particle" : "", "family" : "Bonati", "given" : "Leo H", "non-dropping-particle" : "", "parse-names" : false, "suffix" : "" }, { "dropping-particle" : "", "family" : "Worp", "given" : "H Bart", "non-dropping-particle" : "van der", "parse-names" : false, "suffix" : "" }, { "dropping-particle" : "", "family" : "Borst", "given" : "Gert J", "non-dropping-particle" : "de", "parse-names" : false, "suffix" : "" }, { "dropping-particle" : "", "family" : "Lo", "given" : "T Hauw", "non-dropping-particle" : "", "parse-names" : false, "suffix" : "" }, { "dropping-particle" : "", "family" : "Gaines", "given" : "Peter", "non-dropping-particle" : "", "parse-names" : false, "suffix" : "" }, { "dropping-particle" : "", "family" : "Dorman", "given" : "Paul J", "non-dropping-particle" : "", "parse-names" : false, "suffix" : "" }, { "dropping-particle" : "", "family" : "Macdonald", "given" : "Sumaira", "non-dropping-particle" : "", "parse-names" : false, "suffix" : "" }, { "dropping-particle" : "", "family" : "Lyrer", "given" : "Philippe a", "non-dropping-particle" : "", "parse-names" : false, "suffix" : "" }, { "dropping-particle" : "", "family" : "Hendriks", "given" : "Johanna M", "non-dropping-particle" : "", "parse-names" : false, "suffix" : "" }, { "dropping-particle" : "", "family" : "McCollum", "given" : "Charles", "non-dropping-particle" : "", "parse-names" : false, "suffix" : "" }, { "dropping-particle" : "", "family" : "Nederkoorn", "given" : "Paul J", "non-dropping-particle" : "", "parse-names" : false, "suffix" : "" }, { "dropping-particle" : "", "family" : "Brown", "given" : "Martin M", "non-dropping-particle" : "", "parse-names" : false, "suffix" : "" } ], "container-title" : "Lancet", "id" : "ITEM-3", "issue" : "9719", "issued" : { "date-parts" : [ [ "2010" ] ] }, "page" : "985-97", "title" : "Carotid artery stenting compared with endarterectomy in patients with symptomatic carotid stenosis (International Carotid Stenting Study): an interim analysis of a randomised controlled trial.", "type" : "article-journal", "volume" : "375" }, "uris" : [ "http://www.mendeley.com/documents/?uuid=8e09deb4-ddc2-4985-b3d5-bbcbae724b64" ] } ], "mendeley" : { "formattedCitation" : "&lt;sup&gt;5\u20137&lt;/sup&gt;", "plainTextFormattedCitation" : "5\u20137", "previouslyFormattedCitation" : "(5\u20137)" }, "properties" : { "noteIndex" : 0 }, "schema" : "https://github.com/citation-style-language/schema/raw/master/csl-citation.json" }</w:instrText>
      </w:r>
      <w:r w:rsidRPr="00BD1C2C">
        <w:rPr>
          <w:lang w:val="en-US"/>
        </w:rPr>
        <w:fldChar w:fldCharType="separate"/>
      </w:r>
      <w:r w:rsidRPr="00BD1C2C">
        <w:rPr>
          <w:noProof/>
          <w:vertAlign w:val="superscript"/>
          <w:lang w:val="en-US"/>
        </w:rPr>
        <w:t>5–7</w:t>
      </w:r>
      <w:r w:rsidRPr="00BD1C2C">
        <w:rPr>
          <w:lang w:val="en-US"/>
        </w:rPr>
        <w:fldChar w:fldCharType="end"/>
      </w:r>
      <w:r w:rsidRPr="00BD1C2C">
        <w:rPr>
          <w:lang w:val="en-US"/>
        </w:rPr>
        <w:t xml:space="preserve">have set up the Carotid Stenting Trialists’ Collaboration (CSTC) with the purpose of conducting a combined analysis of outcome data from individual patients </w:t>
      </w:r>
      <w:proofErr w:type="spellStart"/>
      <w:r w:rsidRPr="00BD1C2C">
        <w:rPr>
          <w:lang w:val="en-US"/>
        </w:rPr>
        <w:t>randomised</w:t>
      </w:r>
      <w:proofErr w:type="spellEnd"/>
      <w:r w:rsidRPr="00BD1C2C">
        <w:rPr>
          <w:lang w:val="en-US"/>
        </w:rPr>
        <w:t xml:space="preserve"> for CAS in these trials. The objectives of the present analysis are to investigate the effect of the use of protection devices and the cell design of stents, as well as other procedure-related, clinical or demographic variables on the peri-procedural risk of stroke or death associated with stent treatment for symptomatic carotid stenosis. The following protocol for this analysis has been agreed by the CSTC Steering Committee before the data from the contributing trials were pooled and </w:t>
      </w:r>
      <w:proofErr w:type="spellStart"/>
      <w:r w:rsidRPr="00BD1C2C">
        <w:rPr>
          <w:lang w:val="en-US"/>
        </w:rPr>
        <w:t>analysed</w:t>
      </w:r>
      <w:proofErr w:type="spellEnd"/>
      <w:r w:rsidRPr="00BD1C2C">
        <w:rPr>
          <w:lang w:val="en-US"/>
        </w:rPr>
        <w:t xml:space="preserve">. </w:t>
      </w:r>
    </w:p>
    <w:p w14:paraId="768BBDE7" w14:textId="77777777" w:rsidR="00251DFC" w:rsidRPr="00BD1C2C" w:rsidRDefault="00251DFC" w:rsidP="0000771C">
      <w:pPr>
        <w:rPr>
          <w:lang w:val="en-US"/>
        </w:rPr>
      </w:pPr>
    </w:p>
    <w:p w14:paraId="6A014911" w14:textId="77777777" w:rsidR="0000771C" w:rsidRPr="00BD1C2C" w:rsidRDefault="0000771C" w:rsidP="0000771C">
      <w:pPr>
        <w:rPr>
          <w:lang w:val="en-US"/>
        </w:rPr>
      </w:pPr>
    </w:p>
    <w:p w14:paraId="4E5CFEA5" w14:textId="77777777" w:rsidR="0000771C" w:rsidRPr="00BD1C2C" w:rsidRDefault="0000771C" w:rsidP="0000771C">
      <w:pPr>
        <w:rPr>
          <w:lang w:val="en-US"/>
        </w:rPr>
      </w:pPr>
    </w:p>
    <w:p w14:paraId="60A1E83D" w14:textId="77777777" w:rsidR="0000771C" w:rsidRPr="00BD1C2C" w:rsidRDefault="0000771C" w:rsidP="0000771C">
      <w:pPr>
        <w:rPr>
          <w:lang w:val="en-US"/>
        </w:rPr>
      </w:pPr>
    </w:p>
    <w:p w14:paraId="3E57665E" w14:textId="77777777" w:rsidR="0000771C" w:rsidRPr="00BD1C2C" w:rsidRDefault="0000771C" w:rsidP="0000771C">
      <w:pPr>
        <w:rPr>
          <w:lang w:val="en-US"/>
        </w:rPr>
      </w:pPr>
    </w:p>
    <w:p w14:paraId="39FF07CE" w14:textId="77777777" w:rsidR="00251DFC" w:rsidRPr="00BD1C2C" w:rsidRDefault="00251DFC" w:rsidP="0000771C">
      <w:pPr>
        <w:rPr>
          <w:lang w:val="en-US"/>
        </w:rPr>
      </w:pPr>
      <w:r w:rsidRPr="00BD1C2C">
        <w:rPr>
          <w:lang w:val="en-US"/>
        </w:rPr>
        <w:lastRenderedPageBreak/>
        <w:t>Methods</w:t>
      </w:r>
    </w:p>
    <w:p w14:paraId="07DB33A5" w14:textId="77777777" w:rsidR="00251DFC" w:rsidRPr="00BD1C2C" w:rsidRDefault="00251DFC" w:rsidP="0000771C">
      <w:pPr>
        <w:rPr>
          <w:lang w:val="en-US"/>
        </w:rPr>
      </w:pPr>
    </w:p>
    <w:p w14:paraId="7F58F131" w14:textId="77777777" w:rsidR="00251DFC" w:rsidRPr="00BD1C2C" w:rsidRDefault="00251DFC" w:rsidP="0000771C">
      <w:pPr>
        <w:rPr>
          <w:lang w:val="en-US"/>
        </w:rPr>
      </w:pPr>
      <w:r w:rsidRPr="00BD1C2C">
        <w:rPr>
          <w:lang w:val="en-US"/>
        </w:rPr>
        <w:t>Contributing trials</w:t>
      </w:r>
    </w:p>
    <w:p w14:paraId="1229E41B" w14:textId="77777777" w:rsidR="00251DFC" w:rsidRPr="00BD1C2C" w:rsidRDefault="00251DFC" w:rsidP="0000771C">
      <w:pPr>
        <w:rPr>
          <w:lang w:val="en-US"/>
        </w:rPr>
      </w:pPr>
    </w:p>
    <w:p w14:paraId="6C20AAA9" w14:textId="77777777" w:rsidR="00251DFC" w:rsidRPr="00BD1C2C" w:rsidRDefault="00251DFC" w:rsidP="0000771C">
      <w:pPr>
        <w:rPr>
          <w:lang w:val="en-US"/>
        </w:rPr>
      </w:pPr>
      <w:r w:rsidRPr="00BD1C2C">
        <w:rPr>
          <w:lang w:val="en-US"/>
        </w:rPr>
        <w:t xml:space="preserve">The individual patient data meta-analysis of EVA-3S (NCT 00190398), SPACE (ISRCTN 57874028), and ICSS (ISRCTN 25337470) was prospectively agreed at the design stage of the trials. Patient eligibility criteria, interventions, collected baseline characteristics, and definitions of outcome events were therefore broadly similar between the contributing trials. All three were open clinical trials with blinded outcome adjudication, </w:t>
      </w:r>
      <w:proofErr w:type="spellStart"/>
      <w:r w:rsidRPr="00BD1C2C">
        <w:rPr>
          <w:lang w:val="en-US"/>
        </w:rPr>
        <w:t>randomising</w:t>
      </w:r>
      <w:proofErr w:type="spellEnd"/>
      <w:r w:rsidRPr="00BD1C2C">
        <w:rPr>
          <w:lang w:val="en-US"/>
        </w:rPr>
        <w:t xml:space="preserve"> patients with moderate or severe carotid stenosis (≥50% reduction of the lumen diameter, measured according to the method used in NASCET) and associated recent, non-disabling ocular or cerebral </w:t>
      </w:r>
      <w:proofErr w:type="spellStart"/>
      <w:r w:rsidRPr="00BD1C2C">
        <w:rPr>
          <w:lang w:val="en-US"/>
        </w:rPr>
        <w:t>ischaemic</w:t>
      </w:r>
      <w:proofErr w:type="spellEnd"/>
      <w:r w:rsidRPr="00BD1C2C">
        <w:rPr>
          <w:lang w:val="en-US"/>
        </w:rPr>
        <w:t xml:space="preserve"> events, who were equally suited for either procedure, to undergo treatment by stenting or endarterectomy. The use of approved cerebral protection devices was optional in SPACE and ICSS. In contrast protection devices were made mandatory in EVA-3S after an interim analysis revealed a higher risk of procedural stroke with unprotected stenting compared with protected stenting (see above).  </w:t>
      </w:r>
    </w:p>
    <w:p w14:paraId="3C4000D8" w14:textId="77777777" w:rsidR="00251DFC" w:rsidRPr="00BD1C2C" w:rsidRDefault="00251DFC" w:rsidP="0000771C">
      <w:pPr>
        <w:rPr>
          <w:lang w:val="en-US"/>
        </w:rPr>
      </w:pPr>
    </w:p>
    <w:p w14:paraId="7E6D2439" w14:textId="77777777" w:rsidR="00251DFC" w:rsidRPr="00BD1C2C" w:rsidRDefault="00251DFC" w:rsidP="0000771C">
      <w:pPr>
        <w:rPr>
          <w:lang w:val="en-US"/>
        </w:rPr>
      </w:pPr>
      <w:r w:rsidRPr="00BD1C2C">
        <w:rPr>
          <w:lang w:val="en-US"/>
        </w:rPr>
        <w:t>Definition of outcome events</w:t>
      </w:r>
    </w:p>
    <w:p w14:paraId="3C13A308" w14:textId="77777777" w:rsidR="00251DFC" w:rsidRPr="00BD1C2C" w:rsidRDefault="00251DFC" w:rsidP="0000771C">
      <w:pPr>
        <w:rPr>
          <w:lang w:val="en-US"/>
        </w:rPr>
      </w:pPr>
    </w:p>
    <w:p w14:paraId="58623B5A" w14:textId="77777777" w:rsidR="00251DFC" w:rsidRPr="00BD1C2C" w:rsidRDefault="00251DFC" w:rsidP="0000771C">
      <w:pPr>
        <w:rPr>
          <w:lang w:val="en-US"/>
        </w:rPr>
      </w:pPr>
      <w:r w:rsidRPr="00BD1C2C">
        <w:rPr>
          <w:lang w:val="en-US"/>
        </w:rPr>
        <w:t xml:space="preserve">The primary outcome event of the present analysis is any stroke or death occurring between the day of procedure and 30 days thereafter. The exact time of the onset of outcome events in relation to the procedure was not systematically collected in the contributing trials; for the present analysis, we therefore assumed that outcome events occurring on the day the procedure took place occurred as an immediate complication thereof. </w:t>
      </w:r>
      <w:proofErr w:type="gramStart"/>
      <w:r w:rsidRPr="00BD1C2C">
        <w:rPr>
          <w:lang w:val="en-US"/>
        </w:rPr>
        <w:t>In order to</w:t>
      </w:r>
      <w:proofErr w:type="gramEnd"/>
      <w:r w:rsidRPr="00BD1C2C">
        <w:rPr>
          <w:lang w:val="en-US"/>
        </w:rPr>
        <w:t xml:space="preserve"> investigate whether associations between technical variables and the 30-day risk of stroke or death were driven by immediate complications of the procedure, we performed a sensitivity analysis including only stroke and death outcomes occurring on the day of procedure. Outcome events are defined in the protocol for the CSTC pooled analysis of short-term outcome events, which was published in the supplementary web-appendix to the original CSTC paper.</w:t>
      </w:r>
      <w:r w:rsidRPr="00BD1C2C">
        <w:rPr>
          <w:lang w:val="en-US"/>
        </w:rPr>
        <w:fldChar w:fldCharType="begin" w:fldLock="1"/>
      </w:r>
      <w:r w:rsidRPr="00BD1C2C">
        <w:rPr>
          <w:lang w:val="en-US"/>
        </w:rPr>
        <w:instrText>ADDIN CSL_CITATION { "citationItems" : [ { "id" : "ITEM-1", "itemData" : { "DOI" : "10.1016/S0140-6736(10)61009-4", "ISSN" : "1474-547X", "PMID" : "20832852", "abstract" : "BACKGROUND Results from randomised controlled trials have shown a higher short-term risk of stroke associated with carotid stenting than with carotid endarterectomy for the treatment of symptomatic carotid stenosis. However, these trials were underpowered for investigation of whether carotid artery stenting might be a safe alternative to endarterectomy in specific patient subgroups. We therefore did a preplanned meta-analysis of individual patient data from three randomised controlled trials. METHODS Data from all 3433 patients with symptomatic carotid stenosis who were randomly assigned and analysed in the Endarterectomy versus Angioplasty in Patients with Symptomatic Severe Carotid Stenosis (EVA-3S) trial, the Stent-Protected Angioplasty versus Carotid Endarterectomy (SPACE) trial, and the International Carotid Stenting Study (ICSS) were pooled and analysed with fixed-effect binomial regression models adjusted for source trial. The primary outcome event was any stroke or death. The intention-to-treat (ITT) analysis included all patients and outcome events occurring between randomisation and 120 days thereafter. The per-protocol (PP) analysis was restricted to patients receiving the allocated treatment and events occurring within 30 days after treatment. FINDINGS In the first 120 days after randomisation (ITT analysis), any stroke or death occurred significantly more often in the carotid stenting group (153 [8\u00b79%] of 1725) than in the carotid endarterectomy group (99 [5\u00b78%] of 1708, risk ratio [RR] 1\u00b753, [95% CI 1\u00b720-1\u00b795], p=0\u00b70006; absolute risk difference 3\u00b72 [1\u00b74-4\u00b79]). Of all subgroup variables assessed, only age significantly modified the treatment effect: in patients younger than 70 years (median age), the estimated 120-day risk of stroke or death was 50 (5\u00b78%) of 869 patients in the carotid stenting group and 48 (5\u00b77%) of 843 in the carotid endarterectomy group (RR 1\u00b700 [0\u00b768-1\u00b747]); in patients 70 years or older, the estimated risk with carotid stenting was twice that with carotid endarterectomy (103 [12\u00b70%] of 856 vs 51 [5\u00b79%] of 865, 2\u00b704 [1\u00b748-2\u00b782], interaction p=0\u00b70053, p=0\u00b70014 for trend). In the PP analysis, risk estimates of stroke or death within 30 days of treatment among patients younger than 70 years were 43 (5\u00b71%) of 851 patients in the stenting group and 37 (4\u00b75%) of 821 in the endarterectomy group (1\u00b711 [0\u00b773-1\u00b771]); in patients 70 years or older, the estimates were 87 (10\u00b75%) of 828 patients and 36 (4\u00b74%) of 824, respectively (\u2026", "author" : [ { "dropping-particle" : "", "family" : "Carotid Stenting Trialists' Collaboration", "given" : "", "non-dropping-particle" : "", "parse-names" : false, "suffix" : "" }, { "dropping-particle" : "", "family" : "Bonati", "given" : "Leo H", "non-dropping-particle" : "", "parse-names" : false, "suffix" : "" }, { "dropping-particle" : "", "family" : "Dobson", "given" : "Joanna", "non-dropping-particle" : "", "parse-names" : false, "suffix" : "" }, { "dropping-particle" : "", "family" : "Algra", "given" : "Ale", "non-dropping-particle" : "", "parse-names" : false, "suffix" : "" }, { "dropping-particle" : "", "family" : "Branchereau", "given" : "Alain", "non-dropping-particle" : "", "parse-names" : false, "suffix" : "" }, { "dropping-particle" : "", "family" : "Chatellier", "given" : "Gilles", "non-dropping-particle" : "", "parse-names" : false, "suffix" : "" }, { "dropping-particle" : "", "family" : "Fraedrich", "given" : "Gustav", "non-dropping-particle" : "", "parse-names" : false, "suffix" : "" }, { "dropping-particle" : "", "family" : "Mali", "given" : "Willem P", "non-dropping-particle" : "", "parse-names" : false, "suffix" : "" }, { "dropping-particle" : "", "family" : "Zeumer", "given" : "Hermann", "non-dropping-particle" : "", "parse-names" : false, "suffix" : "" }, { "dropping-particle" : "", "family" : "Brown", "given" : "Martin M", "non-dropping-particle" : "", "parse-names" : false, "suffix" : "" }, { "dropping-particle" : "", "family" : "Mas", "given" : "Jean-Louis", "non-dropping-particle" : "", "parse-names" : false, "suffix" : "" }, { "dropping-particle" : "", "family" : "Ringleb", "given" : "Peter A", "non-dropping-particle" : "", "parse-names" : false, "suffix" : "" } ], "container-title" : "Lancet (London, England)", "id" : "ITEM-1", "issue" : "9746", "issued" : { "date-parts" : [ [ "2010", "9", "25" ] ] }, "page" : "1062-73", "title" : "Short-term outcome after stenting versus endarterectomy for symptomatic carotid stenosis: a preplanned meta-analysis of individual patient data.", "type" : "article-journal", "volume" : "376" }, "uris" : [ "http://www.mendeley.com/documents/?uuid=8bed2530-a47a-39d8-a2fc-1805fe2b7de5" ] } ], "mendeley" : { "formattedCitation" : "&lt;sup&gt;12&lt;/sup&gt;", "plainTextFormattedCitation" : "12", "previouslyFormattedCitation" : "(12)" }, "properties" : { "noteIndex" : 0 }, "schema" : "https://github.com/citation-style-language/schema/raw/master/csl-citation.json" }</w:instrText>
      </w:r>
      <w:r w:rsidRPr="00BD1C2C">
        <w:rPr>
          <w:lang w:val="en-US"/>
        </w:rPr>
        <w:fldChar w:fldCharType="separate"/>
      </w:r>
      <w:r w:rsidRPr="00BD1C2C">
        <w:rPr>
          <w:noProof/>
          <w:vertAlign w:val="superscript"/>
          <w:lang w:val="en-US"/>
        </w:rPr>
        <w:t>12</w:t>
      </w:r>
      <w:r w:rsidRPr="00BD1C2C">
        <w:rPr>
          <w:lang w:val="en-US"/>
        </w:rPr>
        <w:fldChar w:fldCharType="end"/>
      </w:r>
      <w:r w:rsidRPr="00BD1C2C">
        <w:rPr>
          <w:lang w:val="en-US"/>
        </w:rPr>
        <w:t xml:space="preserve"> </w:t>
      </w:r>
    </w:p>
    <w:p w14:paraId="4B8BD68B" w14:textId="77777777" w:rsidR="00251DFC" w:rsidRPr="00BD1C2C" w:rsidRDefault="00251DFC" w:rsidP="0000771C">
      <w:pPr>
        <w:rPr>
          <w:lang w:val="en-US"/>
        </w:rPr>
      </w:pPr>
    </w:p>
    <w:p w14:paraId="4EB26D15" w14:textId="77777777" w:rsidR="00251DFC" w:rsidRPr="00BD1C2C" w:rsidRDefault="00251DFC" w:rsidP="0000771C">
      <w:pPr>
        <w:rPr>
          <w:lang w:val="en-US"/>
        </w:rPr>
      </w:pPr>
      <w:r w:rsidRPr="00BD1C2C">
        <w:rPr>
          <w:lang w:val="en-US"/>
        </w:rPr>
        <w:t>Per protocol definition</w:t>
      </w:r>
    </w:p>
    <w:p w14:paraId="2E0FAF9F" w14:textId="77777777" w:rsidR="00251DFC" w:rsidRPr="00BD1C2C" w:rsidRDefault="00251DFC" w:rsidP="0000771C">
      <w:pPr>
        <w:rPr>
          <w:lang w:val="en-US"/>
        </w:rPr>
      </w:pPr>
    </w:p>
    <w:p w14:paraId="2AD13D4E" w14:textId="77777777" w:rsidR="00251DFC" w:rsidRPr="00BD1C2C" w:rsidRDefault="00251DFC" w:rsidP="0000771C">
      <w:pPr>
        <w:rPr>
          <w:lang w:val="en-US"/>
        </w:rPr>
      </w:pPr>
      <w:r w:rsidRPr="00BD1C2C">
        <w:rPr>
          <w:lang w:val="en-US"/>
        </w:rPr>
        <w:t xml:space="preserve">The analysis will be done per-protocol, including only patients who were </w:t>
      </w:r>
      <w:proofErr w:type="spellStart"/>
      <w:r w:rsidRPr="00BD1C2C">
        <w:rPr>
          <w:lang w:val="en-US"/>
        </w:rPr>
        <w:t>randomised</w:t>
      </w:r>
      <w:proofErr w:type="spellEnd"/>
      <w:r w:rsidRPr="00BD1C2C">
        <w:rPr>
          <w:lang w:val="en-US"/>
        </w:rPr>
        <w:t xml:space="preserve"> to stenting and in whom a stent was deployed across the stenosis. Patients who did not receive stent treatment as randomly allocated will be excluded (i.e., those </w:t>
      </w:r>
      <w:proofErr w:type="spellStart"/>
      <w:r w:rsidRPr="00BD1C2C">
        <w:rPr>
          <w:lang w:val="en-US"/>
        </w:rPr>
        <w:t>randomised</w:t>
      </w:r>
      <w:proofErr w:type="spellEnd"/>
      <w:r w:rsidRPr="00BD1C2C">
        <w:rPr>
          <w:lang w:val="en-US"/>
        </w:rPr>
        <w:t xml:space="preserve"> to stenting in whom the procedure was abandoned before a stent was inserted; those </w:t>
      </w:r>
      <w:proofErr w:type="spellStart"/>
      <w:r w:rsidRPr="00BD1C2C">
        <w:rPr>
          <w:lang w:val="en-US"/>
        </w:rPr>
        <w:t>randomised</w:t>
      </w:r>
      <w:proofErr w:type="spellEnd"/>
      <w:r w:rsidRPr="00BD1C2C">
        <w:rPr>
          <w:lang w:val="en-US"/>
        </w:rPr>
        <w:t xml:space="preserve"> to stenting and crossing over to surgery, those </w:t>
      </w:r>
      <w:proofErr w:type="spellStart"/>
      <w:r w:rsidRPr="00BD1C2C">
        <w:rPr>
          <w:lang w:val="en-US"/>
        </w:rPr>
        <w:t>randomised</w:t>
      </w:r>
      <w:proofErr w:type="spellEnd"/>
      <w:r w:rsidRPr="00BD1C2C">
        <w:rPr>
          <w:lang w:val="en-US"/>
        </w:rPr>
        <w:t xml:space="preserve"> to surgery and crossing over to stenting; those remaining on medical treatment without any attempt at </w:t>
      </w:r>
      <w:proofErr w:type="spellStart"/>
      <w:r w:rsidRPr="00BD1C2C">
        <w:rPr>
          <w:lang w:val="en-US"/>
        </w:rPr>
        <w:t>revascularisation</w:t>
      </w:r>
      <w:proofErr w:type="spellEnd"/>
      <w:r w:rsidRPr="00BD1C2C">
        <w:rPr>
          <w:lang w:val="en-US"/>
        </w:rPr>
        <w:t xml:space="preserve">; and those who died before treatment). </w:t>
      </w:r>
    </w:p>
    <w:p w14:paraId="3829AB4F" w14:textId="77777777" w:rsidR="00251DFC" w:rsidRPr="00BD1C2C" w:rsidRDefault="00251DFC" w:rsidP="0000771C">
      <w:pPr>
        <w:rPr>
          <w:lang w:val="en-US"/>
        </w:rPr>
      </w:pPr>
    </w:p>
    <w:p w14:paraId="319DC49A" w14:textId="77777777" w:rsidR="00251DFC" w:rsidRPr="00BD1C2C" w:rsidRDefault="00251DFC" w:rsidP="0000771C">
      <w:pPr>
        <w:rPr>
          <w:lang w:val="en-US"/>
        </w:rPr>
      </w:pPr>
    </w:p>
    <w:p w14:paraId="0C8C05B1" w14:textId="77777777" w:rsidR="00251DFC" w:rsidRPr="00BD1C2C" w:rsidRDefault="00251DFC" w:rsidP="0000771C">
      <w:pPr>
        <w:rPr>
          <w:lang w:val="en-US"/>
        </w:rPr>
      </w:pPr>
    </w:p>
    <w:p w14:paraId="72C2FE30" w14:textId="77777777" w:rsidR="00251DFC" w:rsidRPr="00BD1C2C" w:rsidRDefault="00251DFC" w:rsidP="0000771C">
      <w:pPr>
        <w:rPr>
          <w:lang w:val="en-US"/>
        </w:rPr>
      </w:pPr>
      <w:r w:rsidRPr="00BD1C2C">
        <w:rPr>
          <w:lang w:val="en-US"/>
        </w:rPr>
        <w:t>Selection of variables</w:t>
      </w:r>
    </w:p>
    <w:p w14:paraId="3D9E5BB1" w14:textId="77777777" w:rsidR="00251DFC" w:rsidRPr="00BD1C2C" w:rsidRDefault="00251DFC" w:rsidP="0000771C">
      <w:pPr>
        <w:rPr>
          <w:lang w:val="en-US"/>
        </w:rPr>
      </w:pPr>
    </w:p>
    <w:p w14:paraId="7F3070A3" w14:textId="77777777" w:rsidR="00251DFC" w:rsidRPr="00BD1C2C" w:rsidRDefault="00251DFC" w:rsidP="0000771C">
      <w:pPr>
        <w:rPr>
          <w:lang w:val="en-US"/>
        </w:rPr>
      </w:pPr>
      <w:r w:rsidRPr="00BD1C2C">
        <w:rPr>
          <w:lang w:val="en-US"/>
        </w:rPr>
        <w:t>The association between peri-procedural outcome events and the following primary procedure-related variables of interest will be assessed: use of protection device and type of stent cell design (open-cell versus closed-cell). We defined closed-cell designs for stents that show a small open area (&lt; 5•0 mm2) between the cell struts and therefore a higher coverage rate and where all stent-struts are interconnected; open cell designs for stents showing a greater open area (&gt; 5•0 mm2) and without interconnection b</w:t>
      </w:r>
      <w:r w:rsidR="00CD36A2" w:rsidRPr="00BD1C2C">
        <w:rPr>
          <w:lang w:val="en-US"/>
        </w:rPr>
        <w:t>etween all stent struts (Table II</w:t>
      </w:r>
      <w:r w:rsidRPr="00BD1C2C">
        <w:rPr>
          <w:lang w:val="en-US"/>
        </w:rPr>
        <w:t>).</w:t>
      </w:r>
      <w:r w:rsidRPr="00BD1C2C">
        <w:rPr>
          <w:lang w:val="en-US"/>
        </w:rPr>
        <w:fldChar w:fldCharType="begin" w:fldLock="1"/>
      </w:r>
      <w:r w:rsidRPr="00BD1C2C">
        <w:rPr>
          <w:lang w:val="en-US"/>
        </w:rPr>
        <w:instrText>ADDIN CSL_CITATION { "citationItems" : [ { "id" : "ITEM-1", "itemData" : { "DOI" : "10.1016/j.ejvs.2006.09.019", "ISSN" : "1078-5884", "PMID" : "17097897", "abstract" : "OBJECTIVES To identify if carotid stent design, especially free cell area, impacts on the 30-day rates for stroke, death and TIA after carotid artery stenting (CAS). MATERIAL AND METHODS A CAS database of 3179 consecutive CAS patients was retrospectively assessed. The distribution of neurological complications were analysed for association with the different stent types and designs. Events where subdivided into procedural and postprocedural events. RESULTS The overall combined rate of TIA, stroke and death was 2.8% at 30 days (late events 1.9%). The post-procedural event rate analyzed for differences stents varied from 1.2% using BSCI Carotid Wallstent to 5.9% using Medtronic Exponent. The late event rates varied from 1.2% to 3.4% for free cell areas &lt;2.5mm(2) and &gt;7.5mm(2) respectively (p&lt;0.05). Post-procedural event rate was 1.3% for closed cells and 3.4% for open cells. All these differences were highly pronounced among symptomatic patients (p&lt;0.0001). CONCLUSIONS After carotid stenting, complication rates vary according to stent type, free cell area and cell design. In the symptomatic population (and also in the total population), post-procedural complication rates are highest for the open cell types and increase with larger free cell area.", "author" : [ { "dropping-particle" : "", "family" : "Bosiers", "given" : "M", "non-dropping-particle" : "", "parse-names" : false, "suffix" : "" }, { "dropping-particle" : "", "family" : "Donato", "given" : "G", "non-dropping-particle" : "de", "parse-names" : false, "suffix" : "" }, { "dropping-particle" : "", "family" : "Deloose", "given" : "K", "non-dropping-particle" : "", "parse-names" : false, "suffix" : "" }, { "dropping-particle" : "", "family" : "Verbist", "given" : "J", "non-dropping-particle" : "", "parse-names" : false, "suffix" : "" }, { "dropping-particle" : "", "family" : "Peeters", "given" : "P", "non-dropping-particle" : "", "parse-names" : false, "suffix" : "" }, { "dropping-particle" : "", "family" : "Castriota", "given" : "F", "non-dropping-particle" : "", "parse-names" : false, "suffix" : "" }, { "dropping-particle" : "", "family" : "Cremonesi", "given" : "A", "non-dropping-particle" : "", "parse-names" : false, "suffix" : "" }, { "dropping-particle" : "", "family" : "Setacci", "given" : "C", "non-dropping-particle" : "", "parse-names" : false, "suffix" : "" } ], "container-title" : "European journal of vascular and endovascular surgery : the official journal of the European Society for Vascular Surgery", "id" : "ITEM-1", "issue" : "2", "issued" : { "date-parts" : [ [ "2007", "2" ] ] }, "page" : "135-41; discussion 142-3", "title" : "Does free cell area influence the outcome in carotid artery stenting?", "type" : "article-journal", "volume" : "33" }, "uris" : [ "http://www.mendeley.com/documents/?uuid=718d1b80-8a3d-3d7d-aab5-68d95b7c87b2" ] } ], "mendeley" : { "formattedCitation" : "&lt;sup&gt;4&lt;/sup&gt;", "plainTextFormattedCitation" : "4", "previouslyFormattedCitation" : "(4)" }, "properties" : { "noteIndex" : 0 }, "schema" : "https://github.com/citation-style-language/schema/raw/master/csl-citation.json" }</w:instrText>
      </w:r>
      <w:r w:rsidRPr="00BD1C2C">
        <w:rPr>
          <w:lang w:val="en-US"/>
        </w:rPr>
        <w:fldChar w:fldCharType="separate"/>
      </w:r>
      <w:r w:rsidRPr="00BD1C2C">
        <w:rPr>
          <w:noProof/>
          <w:vertAlign w:val="superscript"/>
          <w:lang w:val="en-US"/>
        </w:rPr>
        <w:t>4</w:t>
      </w:r>
      <w:r w:rsidRPr="00BD1C2C">
        <w:rPr>
          <w:lang w:val="en-US"/>
        </w:rPr>
        <w:fldChar w:fldCharType="end"/>
      </w:r>
      <w:r w:rsidRPr="00BD1C2C">
        <w:rPr>
          <w:lang w:val="en-US"/>
        </w:rPr>
        <w:t xml:space="preserve"> We included all types of protection devices and defined five different categories (distal </w:t>
      </w:r>
      <w:r w:rsidRPr="00BD1C2C">
        <w:rPr>
          <w:lang w:val="en-US"/>
        </w:rPr>
        <w:lastRenderedPageBreak/>
        <w:t xml:space="preserve">filter, distal balloon, proximal balloon, flow reversal, others) (Table </w:t>
      </w:r>
      <w:r w:rsidR="0000771C" w:rsidRPr="00BD1C2C">
        <w:rPr>
          <w:lang w:val="en-US"/>
        </w:rPr>
        <w:t>III</w:t>
      </w:r>
      <w:r w:rsidRPr="00BD1C2C">
        <w:rPr>
          <w:lang w:val="en-US"/>
        </w:rPr>
        <w:t xml:space="preserve">). Other procedure-related variables include </w:t>
      </w:r>
      <w:proofErr w:type="spellStart"/>
      <w:r w:rsidRPr="00BD1C2C">
        <w:rPr>
          <w:lang w:val="en-US"/>
        </w:rPr>
        <w:t>predilatation</w:t>
      </w:r>
      <w:proofErr w:type="spellEnd"/>
      <w:r w:rsidRPr="00BD1C2C">
        <w:rPr>
          <w:lang w:val="en-US"/>
        </w:rPr>
        <w:t xml:space="preserve">, </w:t>
      </w:r>
      <w:proofErr w:type="spellStart"/>
      <w:r w:rsidRPr="00BD1C2C">
        <w:rPr>
          <w:lang w:val="en-US"/>
        </w:rPr>
        <w:t>postdilatation</w:t>
      </w:r>
      <w:proofErr w:type="spellEnd"/>
      <w:r w:rsidRPr="00BD1C2C">
        <w:rPr>
          <w:lang w:val="en-US"/>
        </w:rPr>
        <w:t xml:space="preserve"> and type of peri-procedural antithrombotic treatment (Table </w:t>
      </w:r>
      <w:r w:rsidR="00CD36A2" w:rsidRPr="00BD1C2C">
        <w:rPr>
          <w:lang w:val="en-US"/>
        </w:rPr>
        <w:t>I</w:t>
      </w:r>
      <w:r w:rsidRPr="00BD1C2C">
        <w:rPr>
          <w:lang w:val="en-US"/>
        </w:rPr>
        <w:t xml:space="preserve">). In addition, the association between peri-procedural outcome events and the following clinical and demographic variables will be assessed: exact age at the time of treatment (calculated as the difference between date of birth and date of treatment), sex, history of diabetes, hypertension, </w:t>
      </w:r>
      <w:proofErr w:type="spellStart"/>
      <w:r w:rsidRPr="00BD1C2C">
        <w:rPr>
          <w:lang w:val="en-US"/>
        </w:rPr>
        <w:t>hypercholesterolaemia</w:t>
      </w:r>
      <w:proofErr w:type="spellEnd"/>
      <w:r w:rsidRPr="00BD1C2C">
        <w:rPr>
          <w:lang w:val="en-US"/>
        </w:rPr>
        <w:t xml:space="preserve">, smoking (current or past), coronary heart disease, and peripheral artery disease; type of the most recent </w:t>
      </w:r>
      <w:proofErr w:type="spellStart"/>
      <w:r w:rsidRPr="00BD1C2C">
        <w:rPr>
          <w:lang w:val="en-US"/>
        </w:rPr>
        <w:t>ischaemic</w:t>
      </w:r>
      <w:proofErr w:type="spellEnd"/>
      <w:r w:rsidRPr="00BD1C2C">
        <w:rPr>
          <w:lang w:val="en-US"/>
        </w:rPr>
        <w:t xml:space="preserve"> event (retinal </w:t>
      </w:r>
      <w:proofErr w:type="spellStart"/>
      <w:r w:rsidRPr="00BD1C2C">
        <w:rPr>
          <w:lang w:val="en-US"/>
        </w:rPr>
        <w:t>ischaemia</w:t>
      </w:r>
      <w:proofErr w:type="spellEnd"/>
      <w:r w:rsidRPr="00BD1C2C">
        <w:rPr>
          <w:lang w:val="en-US"/>
        </w:rPr>
        <w:t xml:space="preserve"> including transient monocular blindness or retinal infarct, hemispheric transient </w:t>
      </w:r>
      <w:proofErr w:type="spellStart"/>
      <w:r w:rsidRPr="00BD1C2C">
        <w:rPr>
          <w:lang w:val="en-US"/>
        </w:rPr>
        <w:t>ischaemic</w:t>
      </w:r>
      <w:proofErr w:type="spellEnd"/>
      <w:r w:rsidRPr="00BD1C2C">
        <w:rPr>
          <w:lang w:val="en-US"/>
        </w:rPr>
        <w:t xml:space="preserve"> attack, or hemispheric </w:t>
      </w:r>
      <w:proofErr w:type="spellStart"/>
      <w:r w:rsidRPr="00BD1C2C">
        <w:rPr>
          <w:lang w:val="en-US"/>
        </w:rPr>
        <w:t>ischaemic</w:t>
      </w:r>
      <w:proofErr w:type="spellEnd"/>
      <w:r w:rsidRPr="00BD1C2C">
        <w:rPr>
          <w:lang w:val="en-US"/>
        </w:rPr>
        <w:t xml:space="preserve"> stroke) in the region supplied by the ipsilateral carotid artery before </w:t>
      </w:r>
      <w:proofErr w:type="spellStart"/>
      <w:r w:rsidRPr="00BD1C2C">
        <w:rPr>
          <w:lang w:val="en-US"/>
        </w:rPr>
        <w:t>randomisation</w:t>
      </w:r>
      <w:proofErr w:type="spellEnd"/>
      <w:r w:rsidRPr="00BD1C2C">
        <w:rPr>
          <w:lang w:val="en-US"/>
        </w:rPr>
        <w:t xml:space="preserve">; history of stroke before the most recent ipsilateral </w:t>
      </w:r>
      <w:proofErr w:type="spellStart"/>
      <w:r w:rsidRPr="00BD1C2C">
        <w:rPr>
          <w:lang w:val="en-US"/>
        </w:rPr>
        <w:t>ischaemic</w:t>
      </w:r>
      <w:proofErr w:type="spellEnd"/>
      <w:r w:rsidRPr="00BD1C2C">
        <w:rPr>
          <w:lang w:val="en-US"/>
        </w:rPr>
        <w:t xml:space="preserve"> event; systolic blood pressure at </w:t>
      </w:r>
      <w:proofErr w:type="spellStart"/>
      <w:r w:rsidRPr="00BD1C2C">
        <w:rPr>
          <w:lang w:val="en-US"/>
        </w:rPr>
        <w:t>randomisation</w:t>
      </w:r>
      <w:proofErr w:type="spellEnd"/>
      <w:r w:rsidRPr="00BD1C2C">
        <w:rPr>
          <w:lang w:val="en-US"/>
        </w:rPr>
        <w:t xml:space="preserve">; level of functional disability at </w:t>
      </w:r>
      <w:proofErr w:type="spellStart"/>
      <w:r w:rsidRPr="00BD1C2C">
        <w:rPr>
          <w:lang w:val="en-US"/>
        </w:rPr>
        <w:t>randomisation</w:t>
      </w:r>
      <w:proofErr w:type="spellEnd"/>
      <w:r w:rsidRPr="00BD1C2C">
        <w:rPr>
          <w:lang w:val="en-US"/>
        </w:rPr>
        <w:t xml:space="preserve"> measured by the modified Rankin Score; degree of ipsilateral carotid stenosis determined at </w:t>
      </w:r>
      <w:proofErr w:type="spellStart"/>
      <w:r w:rsidRPr="00BD1C2C">
        <w:rPr>
          <w:lang w:val="en-US"/>
        </w:rPr>
        <w:t>randomisation</w:t>
      </w:r>
      <w:proofErr w:type="spellEnd"/>
      <w:r w:rsidRPr="00BD1C2C">
        <w:rPr>
          <w:lang w:val="en-US"/>
        </w:rPr>
        <w:t xml:space="preserve"> according to NASCET</w:t>
      </w:r>
      <w:r w:rsidRPr="00BD1C2C">
        <w:rPr>
          <w:lang w:val="en-US"/>
        </w:rPr>
        <w:fldChar w:fldCharType="begin" w:fldLock="1"/>
      </w:r>
      <w:r w:rsidRPr="00BD1C2C">
        <w:rPr>
          <w:lang w:val="en-US"/>
        </w:rPr>
        <w:instrText>ADDIN CSL_CITATION { "citationItems" : [ { "id" : "ITEM-1", "itemData" : { "ISSN" : "0039-2499", "PMID" : "2057968", "abstract" : "Fifty North American centers have combined to evaluate the benefit of carotid endarterectomy in randomized patients who have experienced symptoms related to arteriosclerotic stenosis of the carotid artery and who have received either best medical therapy alone or best medical therapy plus carotid endarterectomy. The outcome events are nonfatal and fatal stroke or death. A three-tier system identifies and adjudicates the type, severity, and location of each stroke and the cause of any death. Data about patients submitted to carotid endarterectomy outside the trial are compiled at the Nonrandomized Data Center at the Mayo Clinic. Between December 27, 1987, and October 1, 1990, 1,212 patients were randomized, 596 to medical therapy, 616 to carotid endarterectomy. Cross-over from the medical to the surgical arm has been low (4.2%). Patients eligible for the trial, but not randomized totaled 1,044; their characteristics were similar to those randomized so that, for the type of symptomatic patient in this study, our conclusions about the benefit of carotid endarterectomy can be generalized. Patients excluded by medical criteria totaled 679. Another 1,591 had carotid endarterectomy, but either lacked the disease under study, were asymptomatic, or received inadequate investigation to meet entry criteria. We set sample size at 1,900 patients, with continuing enrollment. The Monitoring Committee reviews at intervals the confidential analyses performed on the groups with moderate (30-69%) and severe (70-99%) stenosis. Stopping rules will be invoked for one or both groups if unequivocal benefit or harm is identified.", "container-title" : "Stroke; a journal of cerebral circulation", "id" : "ITEM-1", "issue" : "6", "issued" : { "date-parts" : [ [ "1991", "6" ] ] }, "page" : "711-20", "title" : "North American Symptomatic Carotid Endarterectomy Trial. Methods, patient characteristics, and progress.", "type" : "article-journal", "volume" : "22" }, "uris" : [ "http://www.mendeley.com/documents/?uuid=326b187c-fd8d-31c2-a4f6-d788d514d004" ] } ], "mendeley" : { "formattedCitation" : "&lt;sup&gt;1&lt;/sup&gt;", "plainTextFormattedCitation" : "1", "previouslyFormattedCitation" : "(1)" }, "properties" : { "noteIndex" : 0 }, "schema" : "https://github.com/citation-style-language/schema/raw/master/csl-citation.json" }</w:instrText>
      </w:r>
      <w:r w:rsidRPr="00BD1C2C">
        <w:rPr>
          <w:lang w:val="en-US"/>
        </w:rPr>
        <w:fldChar w:fldCharType="separate"/>
      </w:r>
      <w:r w:rsidRPr="00BD1C2C">
        <w:rPr>
          <w:noProof/>
          <w:vertAlign w:val="superscript"/>
          <w:lang w:val="en-US"/>
        </w:rPr>
        <w:t>1</w:t>
      </w:r>
      <w:r w:rsidRPr="00BD1C2C">
        <w:rPr>
          <w:lang w:val="en-US"/>
        </w:rPr>
        <w:fldChar w:fldCharType="end"/>
      </w:r>
      <w:r w:rsidRPr="00BD1C2C">
        <w:rPr>
          <w:lang w:val="en-US"/>
        </w:rPr>
        <w:t xml:space="preserve"> criteria or non-invasive equivalent (moderate [50-69% luminal diameter reduction], or severe [70-99%]) and side of the stenosis (left/right); and presence of contralateral severe carotid stenosis or occlusion. All collected patient and procedure related characteristics will serve a</w:t>
      </w:r>
      <w:r w:rsidR="0000771C" w:rsidRPr="00BD1C2C">
        <w:rPr>
          <w:lang w:val="en-US"/>
        </w:rPr>
        <w:t xml:space="preserve">s variables in analysis. Table </w:t>
      </w:r>
      <w:proofErr w:type="gramStart"/>
      <w:r w:rsidR="0000771C" w:rsidRPr="00BD1C2C">
        <w:rPr>
          <w:lang w:val="en-US"/>
        </w:rPr>
        <w:t>I</w:t>
      </w:r>
      <w:r w:rsidR="00CD36A2" w:rsidRPr="00BD1C2C">
        <w:rPr>
          <w:lang w:val="en-US"/>
        </w:rPr>
        <w:t xml:space="preserve"> </w:t>
      </w:r>
      <w:r w:rsidRPr="00BD1C2C">
        <w:rPr>
          <w:lang w:val="en-US"/>
        </w:rPr>
        <w:t xml:space="preserve"> lists</w:t>
      </w:r>
      <w:proofErr w:type="gramEnd"/>
      <w:r w:rsidRPr="00BD1C2C">
        <w:rPr>
          <w:lang w:val="en-US"/>
        </w:rPr>
        <w:t xml:space="preserve"> all pre-defined variables</w:t>
      </w:r>
    </w:p>
    <w:p w14:paraId="005E072B" w14:textId="77777777" w:rsidR="00251DFC" w:rsidRPr="00BD1C2C" w:rsidRDefault="00251DFC" w:rsidP="0000771C">
      <w:pPr>
        <w:rPr>
          <w:lang w:val="en-US"/>
        </w:rPr>
      </w:pPr>
    </w:p>
    <w:p w14:paraId="3245AA1B" w14:textId="77777777" w:rsidR="00251DFC" w:rsidRPr="00BD1C2C" w:rsidRDefault="00251DFC" w:rsidP="0000771C">
      <w:pPr>
        <w:rPr>
          <w:lang w:val="en-US"/>
        </w:rPr>
      </w:pPr>
      <w:r w:rsidRPr="00BD1C2C">
        <w:rPr>
          <w:lang w:val="en-US"/>
        </w:rPr>
        <w:t>Statistical analysis</w:t>
      </w:r>
    </w:p>
    <w:p w14:paraId="359B8B1A" w14:textId="77777777" w:rsidR="00251DFC" w:rsidRPr="00BD1C2C" w:rsidRDefault="00251DFC" w:rsidP="0000771C">
      <w:pPr>
        <w:rPr>
          <w:lang w:val="en-US"/>
        </w:rPr>
      </w:pPr>
    </w:p>
    <w:p w14:paraId="2B343CA3" w14:textId="77777777" w:rsidR="00251DFC" w:rsidRPr="00BD1C2C" w:rsidRDefault="00251DFC" w:rsidP="0000771C">
      <w:pPr>
        <w:rPr>
          <w:lang w:val="en-US"/>
        </w:rPr>
      </w:pPr>
      <w:r w:rsidRPr="00BD1C2C">
        <w:rPr>
          <w:lang w:val="en-US"/>
        </w:rPr>
        <w:t xml:space="preserve">As the protocols of the three contributing trials are broadly similar, statistical heterogeneity between the treatment effects in individual trials is expected to be small. Individual patient data will therefore be pooled and primarily </w:t>
      </w:r>
      <w:proofErr w:type="spellStart"/>
      <w:r w:rsidRPr="00BD1C2C">
        <w:rPr>
          <w:lang w:val="en-US"/>
        </w:rPr>
        <w:t>analysed</w:t>
      </w:r>
      <w:proofErr w:type="spellEnd"/>
      <w:r w:rsidRPr="00BD1C2C">
        <w:rPr>
          <w:lang w:val="en-US"/>
        </w:rPr>
        <w:t xml:space="preserve"> with fixed-effect binomial regression models including source trial terms as covariables, </w:t>
      </w:r>
      <w:proofErr w:type="gramStart"/>
      <w:r w:rsidRPr="00BD1C2C">
        <w:rPr>
          <w:lang w:val="en-US"/>
        </w:rPr>
        <w:t>in order to</w:t>
      </w:r>
      <w:proofErr w:type="gramEnd"/>
      <w:r w:rsidRPr="00BD1C2C">
        <w:rPr>
          <w:lang w:val="en-US"/>
        </w:rPr>
        <w:t xml:space="preserve"> obtain an overall unadjusted estimate of risk ratios (RR) and 95% confidence intervals of major outcome events as primary aggregate measures of treatment effect. Nevertheless, potential heterogeneity of the individual trial treatment effects will be examined by testing for interactions between source trial and treatment effect in the binomial regression model. If substantial heterogeneity is found, secondary random effects analyses will also be performed. </w:t>
      </w:r>
    </w:p>
    <w:p w14:paraId="0E070B0A" w14:textId="77777777" w:rsidR="00251DFC" w:rsidRPr="00BD1C2C" w:rsidRDefault="00251DFC" w:rsidP="0000771C">
      <w:pPr>
        <w:rPr>
          <w:lang w:val="en-US"/>
        </w:rPr>
      </w:pPr>
    </w:p>
    <w:p w14:paraId="3F3F3F99" w14:textId="77777777" w:rsidR="00251DFC" w:rsidRPr="00BD1C2C" w:rsidRDefault="00251DFC" w:rsidP="0000771C">
      <w:pPr>
        <w:rPr>
          <w:lang w:val="en-US"/>
        </w:rPr>
      </w:pPr>
      <w:r w:rsidRPr="00BD1C2C">
        <w:rPr>
          <w:lang w:val="en-US"/>
        </w:rPr>
        <w:t xml:space="preserve">Associations between the pre-defined variables and peri-procedural outcome events will first be assessed on a univariable level (unadjusted risk ratios). Secondly, RR will be adjusted for (A) only those factors that change the crude RR by more than 5% on a relative scale; (B) simultaneously for the three factors that have the most influence on the RR, as well as (C) for all factors that change the RR. Differences between the effects of protection devices on the primary outcome measure in (1) older versus younger patients and (2) in open-cell versus closed-cell stenting will be investigated by formal testing of statistical interaction. The former interaction will be adjusted for stent design; the latter will be adjusted for age. </w:t>
      </w:r>
    </w:p>
    <w:p w14:paraId="78779690" w14:textId="77777777" w:rsidR="00251DFC" w:rsidRPr="00BD1C2C" w:rsidRDefault="00251DFC" w:rsidP="0000771C">
      <w:pPr>
        <w:rPr>
          <w:lang w:val="en-US"/>
        </w:rPr>
      </w:pPr>
    </w:p>
    <w:p w14:paraId="1ED8052E" w14:textId="77777777" w:rsidR="00251DFC" w:rsidRPr="00BD1C2C" w:rsidRDefault="00251DFC" w:rsidP="0000771C">
      <w:pPr>
        <w:rPr>
          <w:lang w:val="en-US"/>
        </w:rPr>
      </w:pPr>
      <w:r w:rsidRPr="00BD1C2C">
        <w:rPr>
          <w:lang w:val="en-US"/>
        </w:rPr>
        <w:t>Discussion</w:t>
      </w:r>
    </w:p>
    <w:p w14:paraId="604B7AB8" w14:textId="77777777" w:rsidR="00251DFC" w:rsidRPr="00BD1C2C" w:rsidRDefault="00251DFC" w:rsidP="0000771C">
      <w:pPr>
        <w:rPr>
          <w:lang w:val="en-US"/>
        </w:rPr>
      </w:pPr>
    </w:p>
    <w:p w14:paraId="4AAFC9D9" w14:textId="77777777" w:rsidR="00251DFC" w:rsidRPr="00BD1C2C" w:rsidRDefault="00251DFC" w:rsidP="0000771C">
      <w:pPr>
        <w:rPr>
          <w:lang w:val="en-US"/>
        </w:rPr>
      </w:pPr>
      <w:r w:rsidRPr="00BD1C2C">
        <w:rPr>
          <w:lang w:val="en-US"/>
        </w:rPr>
        <w:t xml:space="preserve">The prospective meta-analysis of individual patient data from three large </w:t>
      </w:r>
      <w:proofErr w:type="spellStart"/>
      <w:r w:rsidRPr="00BD1C2C">
        <w:rPr>
          <w:lang w:val="en-US"/>
        </w:rPr>
        <w:t>randomised</w:t>
      </w:r>
      <w:proofErr w:type="spellEnd"/>
      <w:r w:rsidRPr="00BD1C2C">
        <w:rPr>
          <w:lang w:val="en-US"/>
        </w:rPr>
        <w:t xml:space="preserve"> trials in the Carotid Stenting Trialists’ Collaboration represents a powerful tool to </w:t>
      </w:r>
      <w:proofErr w:type="spellStart"/>
      <w:r w:rsidRPr="00BD1C2C">
        <w:rPr>
          <w:lang w:val="en-US"/>
        </w:rPr>
        <w:t>analyse</w:t>
      </w:r>
      <w:proofErr w:type="spellEnd"/>
      <w:r w:rsidRPr="00BD1C2C">
        <w:rPr>
          <w:lang w:val="en-US"/>
        </w:rPr>
        <w:t xml:space="preserve"> the impact of procedural variables on the safety of stent treatment for symptomatic carotid stenosis. The pooled analysis has the potential to identify </w:t>
      </w:r>
      <w:proofErr w:type="gramStart"/>
      <w:r w:rsidRPr="00BD1C2C">
        <w:rPr>
          <w:lang w:val="en-US"/>
        </w:rPr>
        <w:t>particular patient</w:t>
      </w:r>
      <w:proofErr w:type="gramEnd"/>
      <w:r w:rsidRPr="00BD1C2C">
        <w:rPr>
          <w:lang w:val="en-US"/>
        </w:rPr>
        <w:t xml:space="preserve"> groups in whom stenting in general or specific techniques of stenting are associated with increased procedural risks. Furthermore, hypotheses for future technical approaches of carotid endovascular interventions may be generated.</w:t>
      </w:r>
    </w:p>
    <w:p w14:paraId="54DF5DFA" w14:textId="77777777" w:rsidR="00251DFC" w:rsidRPr="00BD1C2C" w:rsidRDefault="00251DFC" w:rsidP="0000771C">
      <w:pPr>
        <w:rPr>
          <w:lang w:val="en-US"/>
        </w:rPr>
      </w:pPr>
    </w:p>
    <w:p w14:paraId="182518FD" w14:textId="77777777" w:rsidR="0000771C" w:rsidRPr="00BD1C2C" w:rsidRDefault="0000771C" w:rsidP="0000771C">
      <w:pPr>
        <w:rPr>
          <w:lang w:val="en-US"/>
        </w:rPr>
      </w:pPr>
    </w:p>
    <w:p w14:paraId="623C5B3B" w14:textId="77777777" w:rsidR="0000771C" w:rsidRPr="00BD1C2C" w:rsidRDefault="0000771C" w:rsidP="0000771C">
      <w:pPr>
        <w:rPr>
          <w:lang w:val="en-US"/>
        </w:rPr>
      </w:pPr>
    </w:p>
    <w:p w14:paraId="4084BE8D" w14:textId="77777777" w:rsidR="0000771C" w:rsidRPr="00BD1C2C" w:rsidRDefault="0000771C" w:rsidP="0000771C">
      <w:pPr>
        <w:rPr>
          <w:lang w:val="en-US"/>
        </w:rPr>
      </w:pPr>
      <w:r w:rsidRPr="00BD1C2C">
        <w:rPr>
          <w:lang w:val="en-US"/>
        </w:rPr>
        <w:lastRenderedPageBreak/>
        <w:t>References</w:t>
      </w:r>
    </w:p>
    <w:p w14:paraId="3F8EF214" w14:textId="77777777" w:rsidR="0000771C" w:rsidRPr="00BD1C2C" w:rsidRDefault="0000771C" w:rsidP="0000771C">
      <w:pPr>
        <w:rPr>
          <w:lang w:val="en-US"/>
        </w:rPr>
      </w:pPr>
    </w:p>
    <w:p w14:paraId="69E9AE59" w14:textId="77777777" w:rsidR="00C50D4B" w:rsidRPr="00BD1C2C" w:rsidRDefault="00251DFC" w:rsidP="0000771C">
      <w:pPr>
        <w:widowControl w:val="0"/>
        <w:autoSpaceDE w:val="0"/>
        <w:autoSpaceDN w:val="0"/>
        <w:adjustRightInd w:val="0"/>
        <w:spacing w:after="200"/>
        <w:ind w:left="640" w:hanging="640"/>
        <w:rPr>
          <w:noProof/>
          <w:lang w:val="en-US"/>
        </w:rPr>
      </w:pPr>
      <w:r w:rsidRPr="00BD1C2C">
        <w:rPr>
          <w:lang w:val="en-US"/>
        </w:rPr>
        <w:fldChar w:fldCharType="begin" w:fldLock="1"/>
      </w:r>
      <w:r w:rsidRPr="00BD1C2C">
        <w:rPr>
          <w:lang w:val="en-US"/>
        </w:rPr>
        <w:instrText xml:space="preserve">ADDIN Mendeley Bibliography CSL_BIBLIOGRAPHY </w:instrText>
      </w:r>
      <w:r w:rsidRPr="00BD1C2C">
        <w:rPr>
          <w:lang w:val="en-US"/>
        </w:rPr>
        <w:fldChar w:fldCharType="separate"/>
      </w:r>
      <w:r w:rsidRPr="00BD1C2C">
        <w:rPr>
          <w:noProof/>
          <w:lang w:val="en-US"/>
        </w:rPr>
        <w:t xml:space="preserve">1. </w:t>
      </w:r>
      <w:r w:rsidRPr="00BD1C2C">
        <w:rPr>
          <w:noProof/>
          <w:lang w:val="en-US"/>
        </w:rPr>
        <w:tab/>
        <w:t xml:space="preserve">North American Symptomatic Carotid Endarterectomy Trial. Methods, patient characteristics, and progress. </w:t>
      </w:r>
      <w:r w:rsidR="00C50D4B" w:rsidRPr="00BD1C2C">
        <w:rPr>
          <w:i/>
          <w:iCs/>
          <w:noProof/>
          <w:lang w:val="en-US"/>
        </w:rPr>
        <w:t>Stroke</w:t>
      </w:r>
      <w:r w:rsidRPr="00BD1C2C">
        <w:rPr>
          <w:noProof/>
          <w:lang w:val="en-US"/>
        </w:rPr>
        <w:t>. 1991;22:711–</w:t>
      </w:r>
      <w:r w:rsidR="00C50D4B" w:rsidRPr="00BD1C2C">
        <w:rPr>
          <w:noProof/>
          <w:lang w:val="en-US"/>
        </w:rPr>
        <w:t>7</w:t>
      </w:r>
      <w:r w:rsidRPr="00BD1C2C">
        <w:rPr>
          <w:noProof/>
          <w:lang w:val="en-US"/>
        </w:rPr>
        <w:t xml:space="preserve">20. </w:t>
      </w:r>
    </w:p>
    <w:p w14:paraId="44D2784E"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2. </w:t>
      </w:r>
      <w:r w:rsidRPr="00BD1C2C">
        <w:rPr>
          <w:noProof/>
          <w:lang w:val="en-US"/>
        </w:rPr>
        <w:tab/>
        <w:t xml:space="preserve">Bhatt DL, Kapadia SR, Bajzer CT, Chew DP, Ziada KM, Mukherjee D, et al. Dual antiplatelet therapy with clopidogrel and aspirin after carotid artery stenting. </w:t>
      </w:r>
      <w:r w:rsidR="00C50D4B" w:rsidRPr="00BD1C2C">
        <w:rPr>
          <w:i/>
          <w:iCs/>
          <w:noProof/>
          <w:lang w:val="en-US"/>
        </w:rPr>
        <w:t>J</w:t>
      </w:r>
      <w:r w:rsidRPr="00BD1C2C">
        <w:rPr>
          <w:i/>
          <w:iCs/>
          <w:noProof/>
          <w:lang w:val="en-US"/>
        </w:rPr>
        <w:t xml:space="preserve"> Invasive Cardiol.</w:t>
      </w:r>
      <w:r w:rsidRPr="00BD1C2C">
        <w:rPr>
          <w:noProof/>
          <w:lang w:val="en-US"/>
        </w:rPr>
        <w:t xml:space="preserve"> 2001;13:767–</w:t>
      </w:r>
      <w:r w:rsidR="00C50D4B" w:rsidRPr="00BD1C2C">
        <w:rPr>
          <w:noProof/>
          <w:lang w:val="en-US"/>
        </w:rPr>
        <w:t>7</w:t>
      </w:r>
      <w:r w:rsidRPr="00BD1C2C">
        <w:rPr>
          <w:noProof/>
          <w:lang w:val="en-US"/>
        </w:rPr>
        <w:t xml:space="preserve">71. </w:t>
      </w:r>
    </w:p>
    <w:p w14:paraId="595E185C"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3. </w:t>
      </w:r>
      <w:r w:rsidRPr="00BD1C2C">
        <w:rPr>
          <w:noProof/>
          <w:lang w:val="en-US"/>
        </w:rPr>
        <w:tab/>
        <w:t xml:space="preserve">McKevitt FM, Randall MS, Cleveland TJ, Gaines PA, Tan KT, Venables GS. The benefits of combined anti-platelet treatment in carotid artery stenting. </w:t>
      </w:r>
      <w:r w:rsidR="00C50D4B" w:rsidRPr="00BD1C2C">
        <w:rPr>
          <w:i/>
          <w:iCs/>
          <w:noProof/>
          <w:lang w:val="en-US"/>
        </w:rPr>
        <w:t>Eur J Vasc Endovasc.</w:t>
      </w:r>
      <w:r w:rsidRPr="00BD1C2C">
        <w:rPr>
          <w:noProof/>
          <w:lang w:val="en-US"/>
        </w:rPr>
        <w:t xml:space="preserve"> 2005;29:522–</w:t>
      </w:r>
      <w:r w:rsidR="00C50D4B" w:rsidRPr="00BD1C2C">
        <w:rPr>
          <w:noProof/>
          <w:lang w:val="en-US"/>
        </w:rPr>
        <w:t>52</w:t>
      </w:r>
      <w:r w:rsidRPr="00BD1C2C">
        <w:rPr>
          <w:noProof/>
          <w:lang w:val="en-US"/>
        </w:rPr>
        <w:t xml:space="preserve">7. </w:t>
      </w:r>
    </w:p>
    <w:p w14:paraId="09D95AF7" w14:textId="77777777" w:rsidR="00C50D4B" w:rsidRPr="00BD1C2C" w:rsidRDefault="00251DFC" w:rsidP="0000771C">
      <w:pPr>
        <w:widowControl w:val="0"/>
        <w:autoSpaceDE w:val="0"/>
        <w:autoSpaceDN w:val="0"/>
        <w:adjustRightInd w:val="0"/>
        <w:spacing w:after="200"/>
        <w:ind w:left="640" w:hanging="640"/>
        <w:rPr>
          <w:noProof/>
          <w:lang w:val="fr-CH"/>
        </w:rPr>
      </w:pPr>
      <w:r w:rsidRPr="00BD1C2C">
        <w:rPr>
          <w:noProof/>
          <w:lang w:val="en-US"/>
        </w:rPr>
        <w:t xml:space="preserve">4. </w:t>
      </w:r>
      <w:r w:rsidRPr="00BD1C2C">
        <w:rPr>
          <w:noProof/>
          <w:lang w:val="en-US"/>
        </w:rPr>
        <w:tab/>
        <w:t xml:space="preserve">Bosiers M, de Donato G, Deloose K, Verbist J, Peeters P, Castriota F, et al. Does free cell area influence the outcome in carotid artery stenting? </w:t>
      </w:r>
      <w:r w:rsidR="00C50D4B" w:rsidRPr="00BD1C2C">
        <w:rPr>
          <w:i/>
          <w:iCs/>
          <w:noProof/>
          <w:lang w:val="fr-CH"/>
        </w:rPr>
        <w:t>Eur J Vasc Endovasc</w:t>
      </w:r>
      <w:r w:rsidRPr="00BD1C2C">
        <w:rPr>
          <w:i/>
          <w:iCs/>
          <w:noProof/>
          <w:lang w:val="fr-CH"/>
        </w:rPr>
        <w:t>.</w:t>
      </w:r>
      <w:r w:rsidRPr="00BD1C2C">
        <w:rPr>
          <w:noProof/>
          <w:lang w:val="fr-CH"/>
        </w:rPr>
        <w:t xml:space="preserve"> 2007;33:135-41–3. </w:t>
      </w:r>
    </w:p>
    <w:p w14:paraId="72836B87" w14:textId="77777777" w:rsidR="00C50D4B" w:rsidRPr="00BD1C2C" w:rsidRDefault="00251DFC" w:rsidP="0000771C">
      <w:pPr>
        <w:widowControl w:val="0"/>
        <w:autoSpaceDE w:val="0"/>
        <w:autoSpaceDN w:val="0"/>
        <w:adjustRightInd w:val="0"/>
        <w:spacing w:after="200"/>
        <w:ind w:left="640" w:hanging="640"/>
        <w:rPr>
          <w:noProof/>
        </w:rPr>
      </w:pPr>
      <w:r w:rsidRPr="00BD1C2C">
        <w:rPr>
          <w:noProof/>
          <w:lang w:val="fr-CH"/>
        </w:rPr>
        <w:t xml:space="preserve">5. </w:t>
      </w:r>
      <w:r w:rsidRPr="00BD1C2C">
        <w:rPr>
          <w:noProof/>
          <w:lang w:val="fr-CH"/>
        </w:rPr>
        <w:tab/>
        <w:t xml:space="preserve">Mas J-L, Chatellier G, Beyssen B, Branchereau A, Moulin T, Becquemin J-P, et al. </w:t>
      </w:r>
      <w:r w:rsidRPr="00BD1C2C">
        <w:rPr>
          <w:noProof/>
          <w:lang w:val="en-US"/>
        </w:rPr>
        <w:t xml:space="preserve">Endarterectomy versus stenting in patients with symptomatic severe carotid stenosis. </w:t>
      </w:r>
      <w:r w:rsidR="00C50D4B" w:rsidRPr="00BD1C2C">
        <w:rPr>
          <w:i/>
          <w:iCs/>
          <w:noProof/>
        </w:rPr>
        <w:t>New Engl J</w:t>
      </w:r>
      <w:r w:rsidRPr="00BD1C2C">
        <w:rPr>
          <w:i/>
          <w:iCs/>
          <w:noProof/>
        </w:rPr>
        <w:t xml:space="preserve"> Med.</w:t>
      </w:r>
      <w:r w:rsidRPr="00BD1C2C">
        <w:rPr>
          <w:noProof/>
        </w:rPr>
        <w:t xml:space="preserve"> 2006;355:1660–</w:t>
      </w:r>
      <w:r w:rsidR="00C50D4B" w:rsidRPr="00BD1C2C">
        <w:rPr>
          <w:noProof/>
        </w:rPr>
        <w:t>16</w:t>
      </w:r>
      <w:r w:rsidRPr="00BD1C2C">
        <w:rPr>
          <w:noProof/>
        </w:rPr>
        <w:t xml:space="preserve">71. </w:t>
      </w:r>
    </w:p>
    <w:p w14:paraId="36C103EB"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rPr>
        <w:t xml:space="preserve">6. </w:t>
      </w:r>
      <w:r w:rsidRPr="00BD1C2C">
        <w:rPr>
          <w:noProof/>
        </w:rPr>
        <w:tab/>
        <w:t xml:space="preserve">Eckstein H-H, Ringleb P, Allenberg J-R, Berger J, Fraedrich G, Hacke W, et al. </w:t>
      </w:r>
      <w:r w:rsidRPr="00BD1C2C">
        <w:rPr>
          <w:noProof/>
          <w:lang w:val="en-US"/>
        </w:rPr>
        <w:t xml:space="preserve">Results of the Stent-Protected Angioplasty versus Carotid Endarterectomy (SPACE) study to treat symptomatic stenoses at 2 years: a multinational, prospective, randomised trial. </w:t>
      </w:r>
      <w:r w:rsidR="00C50D4B" w:rsidRPr="00BD1C2C">
        <w:rPr>
          <w:i/>
          <w:iCs/>
          <w:noProof/>
          <w:lang w:val="en-US"/>
        </w:rPr>
        <w:t>Lancet</w:t>
      </w:r>
      <w:r w:rsidRPr="00BD1C2C">
        <w:rPr>
          <w:i/>
          <w:iCs/>
          <w:noProof/>
          <w:lang w:val="en-US"/>
        </w:rPr>
        <w:t xml:space="preserve"> Neurol.</w:t>
      </w:r>
      <w:r w:rsidRPr="00BD1C2C">
        <w:rPr>
          <w:noProof/>
          <w:lang w:val="en-US"/>
        </w:rPr>
        <w:t xml:space="preserve"> 2008;7:893–902. </w:t>
      </w:r>
    </w:p>
    <w:p w14:paraId="25C01B2D"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7. </w:t>
      </w:r>
      <w:r w:rsidRPr="00BD1C2C">
        <w:rPr>
          <w:noProof/>
          <w:lang w:val="en-US"/>
        </w:rPr>
        <w:tab/>
        <w:t xml:space="preserve">Ederle J, Dobson J, Featherstone RL, Bonati LH, van der Worp HB, de Borst GJ, et al. Carotid artery stenting compared with endarterectomy in patients with symptomatic carotid stenosis (International Carotid Stenting Study): an interim analysis of a randomised controlled trial. </w:t>
      </w:r>
      <w:r w:rsidRPr="00BD1C2C">
        <w:rPr>
          <w:i/>
          <w:iCs/>
          <w:noProof/>
          <w:lang w:val="en-US"/>
        </w:rPr>
        <w:t>Lancet</w:t>
      </w:r>
      <w:r w:rsidR="00C50D4B" w:rsidRPr="00BD1C2C">
        <w:rPr>
          <w:noProof/>
          <w:lang w:val="en-US"/>
        </w:rPr>
        <w:t>.</w:t>
      </w:r>
      <w:r w:rsidRPr="00BD1C2C">
        <w:rPr>
          <w:noProof/>
          <w:lang w:val="en-US"/>
        </w:rPr>
        <w:t xml:space="preserve"> 2010;375:985–</w:t>
      </w:r>
      <w:r w:rsidR="00C50D4B" w:rsidRPr="00BD1C2C">
        <w:rPr>
          <w:noProof/>
          <w:lang w:val="en-US"/>
        </w:rPr>
        <w:t>9</w:t>
      </w:r>
      <w:r w:rsidRPr="00BD1C2C">
        <w:rPr>
          <w:noProof/>
          <w:lang w:val="en-US"/>
        </w:rPr>
        <w:t xml:space="preserve">97. </w:t>
      </w:r>
    </w:p>
    <w:p w14:paraId="55DF47CA"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8. </w:t>
      </w:r>
      <w:r w:rsidRPr="00BD1C2C">
        <w:rPr>
          <w:noProof/>
          <w:lang w:val="en-US"/>
        </w:rPr>
        <w:tab/>
        <w:t xml:space="preserve">Yadav JS, Wholey MH, Kuntz RE, Fayad P, Katzen BT, Mishkel GJ, et al. Protected carotid-artery stenting versus endarterectomy in high-risk patients. </w:t>
      </w:r>
      <w:r w:rsidR="00C50D4B" w:rsidRPr="00BD1C2C">
        <w:rPr>
          <w:i/>
          <w:iCs/>
          <w:noProof/>
          <w:lang w:val="en-US"/>
        </w:rPr>
        <w:t>New Engl J</w:t>
      </w:r>
      <w:r w:rsidRPr="00BD1C2C">
        <w:rPr>
          <w:i/>
          <w:iCs/>
          <w:noProof/>
          <w:lang w:val="en-US"/>
        </w:rPr>
        <w:t xml:space="preserve"> Med.</w:t>
      </w:r>
      <w:r w:rsidRPr="00BD1C2C">
        <w:rPr>
          <w:noProof/>
          <w:lang w:val="en-US"/>
        </w:rPr>
        <w:t xml:space="preserve"> 2004;351:1493–</w:t>
      </w:r>
      <w:r w:rsidR="00C50D4B" w:rsidRPr="00BD1C2C">
        <w:rPr>
          <w:noProof/>
          <w:lang w:val="en-US"/>
        </w:rPr>
        <w:t>1</w:t>
      </w:r>
      <w:r w:rsidRPr="00BD1C2C">
        <w:rPr>
          <w:noProof/>
          <w:lang w:val="en-US"/>
        </w:rPr>
        <w:t xml:space="preserve">501. </w:t>
      </w:r>
    </w:p>
    <w:p w14:paraId="71D2044B" w14:textId="77777777" w:rsidR="00251DFC" w:rsidRPr="00BD1C2C" w:rsidRDefault="00251DFC" w:rsidP="0000771C">
      <w:pPr>
        <w:widowControl w:val="0"/>
        <w:autoSpaceDE w:val="0"/>
        <w:autoSpaceDN w:val="0"/>
        <w:adjustRightInd w:val="0"/>
        <w:spacing w:after="200"/>
        <w:ind w:left="640" w:hanging="640"/>
        <w:rPr>
          <w:noProof/>
          <w:lang w:val="it-CH"/>
        </w:rPr>
      </w:pPr>
      <w:r w:rsidRPr="00BD1C2C">
        <w:rPr>
          <w:noProof/>
          <w:lang w:val="en-US"/>
        </w:rPr>
        <w:t xml:space="preserve">9. </w:t>
      </w:r>
      <w:r w:rsidRPr="00BD1C2C">
        <w:rPr>
          <w:noProof/>
          <w:lang w:val="en-US"/>
        </w:rPr>
        <w:tab/>
        <w:t xml:space="preserve">Jansen O, Fiehler J, Hartmann M, Brückmann H. Protection or nonprotection in carotid stent angioplasty: the influence of interventional techniques on outcome data from the SPACE Trial. </w:t>
      </w:r>
      <w:r w:rsidRPr="00BD1C2C">
        <w:rPr>
          <w:i/>
          <w:iCs/>
          <w:noProof/>
          <w:lang w:val="it-CH"/>
        </w:rPr>
        <w:t>Stroke.</w:t>
      </w:r>
      <w:r w:rsidRPr="00BD1C2C">
        <w:rPr>
          <w:noProof/>
          <w:lang w:val="it-CH"/>
        </w:rPr>
        <w:t xml:space="preserve"> 2009;40:841–</w:t>
      </w:r>
      <w:r w:rsidR="00C50D4B" w:rsidRPr="00BD1C2C">
        <w:rPr>
          <w:noProof/>
          <w:lang w:val="it-CH"/>
        </w:rPr>
        <w:t>84</w:t>
      </w:r>
      <w:r w:rsidRPr="00BD1C2C">
        <w:rPr>
          <w:noProof/>
          <w:lang w:val="it-CH"/>
        </w:rPr>
        <w:t xml:space="preserve">6. </w:t>
      </w:r>
    </w:p>
    <w:p w14:paraId="20FBB160"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it-CH"/>
        </w:rPr>
        <w:t xml:space="preserve">10. </w:t>
      </w:r>
      <w:r w:rsidRPr="00BD1C2C">
        <w:rPr>
          <w:noProof/>
          <w:lang w:val="it-CH"/>
        </w:rPr>
        <w:tab/>
        <w:t xml:space="preserve">Montorsi P, Galli S, Ravagnani P, Ruchin P, Lualdi A, Fabbiocchi F, et al. </w:t>
      </w:r>
      <w:r w:rsidRPr="00BD1C2C">
        <w:rPr>
          <w:noProof/>
          <w:lang w:val="en-US"/>
        </w:rPr>
        <w:t xml:space="preserve">Randomized trial of predilation versus direct stenting for treatment of carotid artery stenosis. </w:t>
      </w:r>
      <w:r w:rsidR="00C50D4B" w:rsidRPr="00BD1C2C">
        <w:rPr>
          <w:i/>
          <w:iCs/>
          <w:noProof/>
          <w:lang w:val="en-US"/>
        </w:rPr>
        <w:t>Int J</w:t>
      </w:r>
      <w:r w:rsidRPr="00BD1C2C">
        <w:rPr>
          <w:i/>
          <w:iCs/>
          <w:noProof/>
          <w:lang w:val="en-US"/>
        </w:rPr>
        <w:t xml:space="preserve"> Cardiol.</w:t>
      </w:r>
      <w:r w:rsidRPr="00BD1C2C">
        <w:rPr>
          <w:noProof/>
          <w:lang w:val="en-US"/>
        </w:rPr>
        <w:t xml:space="preserve"> 2010;138:233–</w:t>
      </w:r>
      <w:r w:rsidR="00C50D4B" w:rsidRPr="00BD1C2C">
        <w:rPr>
          <w:noProof/>
          <w:lang w:val="en-US"/>
        </w:rPr>
        <w:t>23</w:t>
      </w:r>
      <w:r w:rsidRPr="00BD1C2C">
        <w:rPr>
          <w:noProof/>
          <w:lang w:val="en-US"/>
        </w:rPr>
        <w:t xml:space="preserve">8. </w:t>
      </w:r>
    </w:p>
    <w:p w14:paraId="72D07ABA"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11. </w:t>
      </w:r>
      <w:r w:rsidRPr="00BD1C2C">
        <w:rPr>
          <w:noProof/>
          <w:lang w:val="en-US"/>
        </w:rPr>
        <w:tab/>
        <w:t xml:space="preserve">Touzé E, Trinquart L, Chatellier G, Mas J-L. Systematic review of the perioperative risks of stroke or death after carotid angioplasty and stenting. </w:t>
      </w:r>
      <w:r w:rsidRPr="00BD1C2C">
        <w:rPr>
          <w:i/>
          <w:iCs/>
          <w:noProof/>
          <w:lang w:val="en-US"/>
        </w:rPr>
        <w:t>Stroke.</w:t>
      </w:r>
      <w:r w:rsidRPr="00BD1C2C">
        <w:rPr>
          <w:noProof/>
          <w:lang w:val="en-US"/>
        </w:rPr>
        <w:t xml:space="preserve"> 2009;40:e683-</w:t>
      </w:r>
      <w:r w:rsidR="00C50D4B" w:rsidRPr="00BD1C2C">
        <w:rPr>
          <w:noProof/>
          <w:lang w:val="en-US"/>
        </w:rPr>
        <w:t>6</w:t>
      </w:r>
      <w:r w:rsidRPr="00BD1C2C">
        <w:rPr>
          <w:noProof/>
          <w:lang w:val="en-US"/>
        </w:rPr>
        <w:t xml:space="preserve">93. </w:t>
      </w:r>
    </w:p>
    <w:p w14:paraId="43011D05" w14:textId="77777777" w:rsidR="00251DFC" w:rsidRPr="00BD1C2C" w:rsidRDefault="00251DFC" w:rsidP="0000771C">
      <w:pPr>
        <w:widowControl w:val="0"/>
        <w:autoSpaceDE w:val="0"/>
        <w:autoSpaceDN w:val="0"/>
        <w:adjustRightInd w:val="0"/>
        <w:spacing w:after="200"/>
        <w:ind w:left="640" w:hanging="640"/>
        <w:rPr>
          <w:noProof/>
          <w:lang w:val="en-US"/>
        </w:rPr>
      </w:pPr>
      <w:r w:rsidRPr="00BD1C2C">
        <w:rPr>
          <w:noProof/>
          <w:lang w:val="en-US"/>
        </w:rPr>
        <w:t xml:space="preserve">12. </w:t>
      </w:r>
      <w:r w:rsidRPr="00BD1C2C">
        <w:rPr>
          <w:noProof/>
          <w:lang w:val="en-US"/>
        </w:rPr>
        <w:tab/>
        <w:t xml:space="preserve">Carotid Stenting Trialists’ Collaboration, Bonati LH, Dobson J, Algra A, Branchereau A, Chatellier G, et al. Short-term outcome after stenting versus endarterectomy for symptomatic carotid stenosis: a preplanned meta-analysis of individual patient data. </w:t>
      </w:r>
      <w:r w:rsidRPr="00BD1C2C">
        <w:rPr>
          <w:i/>
          <w:iCs/>
          <w:noProof/>
          <w:lang w:val="en-US"/>
        </w:rPr>
        <w:t>Lancet</w:t>
      </w:r>
      <w:r w:rsidR="00C50D4B" w:rsidRPr="00BD1C2C">
        <w:rPr>
          <w:i/>
          <w:iCs/>
          <w:noProof/>
          <w:lang w:val="en-US"/>
        </w:rPr>
        <w:t>.</w:t>
      </w:r>
      <w:r w:rsidRPr="00BD1C2C">
        <w:rPr>
          <w:noProof/>
          <w:lang w:val="en-US"/>
        </w:rPr>
        <w:t xml:space="preserve"> 2010;376:1062–</w:t>
      </w:r>
      <w:r w:rsidR="00C50D4B" w:rsidRPr="00BD1C2C">
        <w:rPr>
          <w:noProof/>
          <w:lang w:val="en-US"/>
        </w:rPr>
        <w:t>10</w:t>
      </w:r>
      <w:r w:rsidRPr="00BD1C2C">
        <w:rPr>
          <w:noProof/>
          <w:lang w:val="en-US"/>
        </w:rPr>
        <w:t xml:space="preserve">73. </w:t>
      </w:r>
    </w:p>
    <w:p w14:paraId="1CC30E94" w14:textId="77777777" w:rsidR="00251DFC" w:rsidRPr="00BD1C2C" w:rsidRDefault="00251DFC" w:rsidP="0000771C">
      <w:pPr>
        <w:rPr>
          <w:lang w:val="en-US"/>
        </w:rPr>
      </w:pPr>
      <w:r w:rsidRPr="00BD1C2C">
        <w:rPr>
          <w:lang w:val="en-US"/>
        </w:rPr>
        <w:fldChar w:fldCharType="end"/>
      </w:r>
    </w:p>
    <w:p w14:paraId="0212FB5E" w14:textId="77777777" w:rsidR="0000771C" w:rsidRPr="00BD1C2C" w:rsidRDefault="0000771C">
      <w:pPr>
        <w:spacing w:after="200" w:line="276" w:lineRule="auto"/>
        <w:rPr>
          <w:b/>
          <w:lang w:val="en-GB"/>
        </w:rPr>
      </w:pPr>
    </w:p>
    <w:p w14:paraId="2D41F015" w14:textId="77777777" w:rsidR="00251DFC" w:rsidRPr="00BD1C2C" w:rsidRDefault="0000771C" w:rsidP="00251DFC">
      <w:pPr>
        <w:jc w:val="both"/>
        <w:rPr>
          <w:b/>
          <w:lang w:val="en-GB"/>
        </w:rPr>
      </w:pPr>
      <w:r w:rsidRPr="00BD1C2C">
        <w:rPr>
          <w:b/>
          <w:lang w:val="en-GB"/>
        </w:rPr>
        <w:lastRenderedPageBreak/>
        <w:t>Table I</w:t>
      </w:r>
      <w:r w:rsidR="00251DFC" w:rsidRPr="00BD1C2C">
        <w:rPr>
          <w:b/>
          <w:lang w:val="en-GB"/>
        </w:rPr>
        <w:t>: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5746"/>
      </w:tblGrid>
      <w:tr w:rsidR="00251DFC" w:rsidRPr="00BD1C2C" w14:paraId="3A0AD7E8" w14:textId="77777777" w:rsidTr="0013066A">
        <w:tc>
          <w:tcPr>
            <w:tcW w:w="3369" w:type="dxa"/>
            <w:vMerge w:val="restart"/>
            <w:shd w:val="clear" w:color="auto" w:fill="auto"/>
          </w:tcPr>
          <w:p w14:paraId="55A4328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Technical variables</w:t>
            </w:r>
          </w:p>
        </w:tc>
        <w:tc>
          <w:tcPr>
            <w:tcW w:w="5842" w:type="dxa"/>
            <w:shd w:val="clear" w:color="auto" w:fill="auto"/>
          </w:tcPr>
          <w:p w14:paraId="1733D1F8"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rPr>
              <w:t>Predilatation</w:t>
            </w:r>
            <w:proofErr w:type="spellEnd"/>
          </w:p>
        </w:tc>
      </w:tr>
      <w:tr w:rsidR="00251DFC" w:rsidRPr="00BD1C2C" w14:paraId="000B048C" w14:textId="77777777" w:rsidTr="0013066A">
        <w:tc>
          <w:tcPr>
            <w:tcW w:w="3369" w:type="dxa"/>
            <w:vMerge/>
            <w:shd w:val="clear" w:color="auto" w:fill="auto"/>
          </w:tcPr>
          <w:p w14:paraId="4D09BDB1"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09BF040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rPr>
            </w:pPr>
            <w:proofErr w:type="spellStart"/>
            <w:r w:rsidRPr="00BD1C2C">
              <w:rPr>
                <w:rStyle w:val="FontStyle12"/>
                <w:rFonts w:ascii="Times New Roman" w:hAnsi="Times New Roman" w:cs="Times New Roman"/>
                <w:lang w:val="en-GB"/>
              </w:rPr>
              <w:t>Postdilatation</w:t>
            </w:r>
            <w:proofErr w:type="spellEnd"/>
          </w:p>
        </w:tc>
      </w:tr>
      <w:tr w:rsidR="00251DFC" w:rsidRPr="00BD1C2C" w14:paraId="45BF19A2" w14:textId="77777777" w:rsidTr="0013066A">
        <w:tc>
          <w:tcPr>
            <w:tcW w:w="3369" w:type="dxa"/>
            <w:vMerge/>
            <w:shd w:val="clear" w:color="auto" w:fill="auto"/>
          </w:tcPr>
          <w:p w14:paraId="41BA2D93"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1E733B8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Stent design (open cell vs. closed cell design)</w:t>
            </w:r>
          </w:p>
        </w:tc>
      </w:tr>
      <w:tr w:rsidR="00251DFC" w:rsidRPr="00BD1C2C" w14:paraId="58851F7E" w14:textId="77777777" w:rsidTr="0013066A">
        <w:tc>
          <w:tcPr>
            <w:tcW w:w="3369" w:type="dxa"/>
            <w:vMerge/>
            <w:shd w:val="clear" w:color="auto" w:fill="auto"/>
          </w:tcPr>
          <w:p w14:paraId="4F473E28"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7B286A5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Stent model</w:t>
            </w:r>
            <w:r w:rsidRPr="00BD1C2C" w:rsidDel="005241B3">
              <w:rPr>
                <w:rStyle w:val="FontStyle12"/>
                <w:rFonts w:ascii="Times New Roman" w:hAnsi="Times New Roman" w:cs="Times New Roman"/>
                <w:lang w:val="en-GB"/>
              </w:rPr>
              <w:t xml:space="preserve"> </w:t>
            </w:r>
          </w:p>
        </w:tc>
      </w:tr>
      <w:tr w:rsidR="00251DFC" w:rsidRPr="00BD1C2C" w14:paraId="4EB50214" w14:textId="77777777" w:rsidTr="0013066A">
        <w:tc>
          <w:tcPr>
            <w:tcW w:w="3369" w:type="dxa"/>
            <w:vMerge/>
            <w:shd w:val="clear" w:color="auto" w:fill="auto"/>
          </w:tcPr>
          <w:p w14:paraId="0615F720"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13B62BA5" w14:textId="77777777" w:rsidR="00251DFC" w:rsidRPr="00BD1C2C" w:rsidRDefault="00251DFC" w:rsidP="0013066A">
            <w:pPr>
              <w:pStyle w:val="Style2"/>
              <w:widowControl/>
              <w:spacing w:before="91" w:line="240" w:lineRule="auto"/>
              <w:rPr>
                <w:rStyle w:val="FontStyle12"/>
                <w:rFonts w:ascii="Times New Roman" w:hAnsi="Times New Roman" w:cs="Times New Roman"/>
                <w:i/>
                <w:lang w:val="en-GB" w:eastAsia="en-US"/>
              </w:rPr>
            </w:pPr>
            <w:r w:rsidRPr="00BD1C2C">
              <w:rPr>
                <w:rStyle w:val="FontStyle11"/>
                <w:rFonts w:ascii="Times New Roman" w:hAnsi="Times New Roman" w:cs="Times New Roman"/>
                <w:sz w:val="16"/>
                <w:szCs w:val="16"/>
                <w:lang w:val="en-GB"/>
              </w:rPr>
              <w:t xml:space="preserve">Single versus double peri-procedural antiplatelet therapy </w:t>
            </w:r>
          </w:p>
        </w:tc>
      </w:tr>
      <w:tr w:rsidR="00251DFC" w:rsidRPr="00BD1C2C" w14:paraId="4A77D5B5" w14:textId="77777777" w:rsidTr="0013066A">
        <w:tc>
          <w:tcPr>
            <w:tcW w:w="3369" w:type="dxa"/>
            <w:vMerge/>
            <w:shd w:val="clear" w:color="auto" w:fill="auto"/>
          </w:tcPr>
          <w:p w14:paraId="111D886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350636FA"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Use of protection device</w:t>
            </w:r>
            <w:r w:rsidRPr="00BD1C2C">
              <w:rPr>
                <w:rStyle w:val="FontStyle11"/>
                <w:rFonts w:ascii="Times New Roman" w:hAnsi="Times New Roman" w:cs="Times New Roman"/>
                <w:sz w:val="16"/>
                <w:szCs w:val="16"/>
                <w:lang w:val="en-GB"/>
              </w:rPr>
              <w:t xml:space="preserve"> </w:t>
            </w:r>
          </w:p>
        </w:tc>
      </w:tr>
      <w:tr w:rsidR="00251DFC" w:rsidRPr="00BD1C2C" w14:paraId="53FF9961" w14:textId="77777777" w:rsidTr="0013066A">
        <w:tc>
          <w:tcPr>
            <w:tcW w:w="3369" w:type="dxa"/>
            <w:vMerge/>
            <w:shd w:val="clear" w:color="auto" w:fill="auto"/>
          </w:tcPr>
          <w:p w14:paraId="724E6621"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44B0F6F9"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rPr>
            </w:pPr>
            <w:r w:rsidRPr="00BD1C2C">
              <w:rPr>
                <w:rStyle w:val="FontStyle12"/>
                <w:rFonts w:ascii="Times New Roman" w:hAnsi="Times New Roman" w:cs="Times New Roman"/>
                <w:lang w:val="en-GB"/>
              </w:rPr>
              <w:t>Duration of CAS</w:t>
            </w:r>
          </w:p>
        </w:tc>
      </w:tr>
      <w:tr w:rsidR="00251DFC" w:rsidRPr="00BD1C2C" w14:paraId="7341B350" w14:textId="77777777" w:rsidTr="0013066A">
        <w:tc>
          <w:tcPr>
            <w:tcW w:w="3369" w:type="dxa"/>
            <w:vMerge w:val="restart"/>
            <w:shd w:val="clear" w:color="auto" w:fill="auto"/>
          </w:tcPr>
          <w:p w14:paraId="0FABFFC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Clinical and demographic variables</w:t>
            </w:r>
          </w:p>
        </w:tc>
        <w:tc>
          <w:tcPr>
            <w:tcW w:w="5842" w:type="dxa"/>
            <w:shd w:val="clear" w:color="auto" w:fill="auto"/>
          </w:tcPr>
          <w:p w14:paraId="5480FB9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Age at treatment</w:t>
            </w:r>
          </w:p>
        </w:tc>
      </w:tr>
      <w:tr w:rsidR="00251DFC" w:rsidRPr="00BD1C2C" w14:paraId="7C7F1AC0" w14:textId="77777777" w:rsidTr="0013066A">
        <w:tc>
          <w:tcPr>
            <w:tcW w:w="3369" w:type="dxa"/>
            <w:vMerge/>
            <w:shd w:val="clear" w:color="auto" w:fill="auto"/>
          </w:tcPr>
          <w:p w14:paraId="3A88F8E0"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33C08A1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Coronary heart disease</w:t>
            </w:r>
            <w:r w:rsidRPr="00BD1C2C">
              <w:rPr>
                <w:rStyle w:val="FontStyle12"/>
                <w:rFonts w:ascii="Times New Roman" w:hAnsi="Times New Roman" w:cs="Times New Roman"/>
                <w:lang w:val="en-GB"/>
              </w:rPr>
              <w:t xml:space="preserve"> </w:t>
            </w:r>
          </w:p>
        </w:tc>
      </w:tr>
      <w:tr w:rsidR="00251DFC" w:rsidRPr="00BD1C2C" w14:paraId="617AD56B" w14:textId="77777777" w:rsidTr="0013066A">
        <w:tc>
          <w:tcPr>
            <w:tcW w:w="3369" w:type="dxa"/>
            <w:vMerge/>
            <w:shd w:val="clear" w:color="auto" w:fill="auto"/>
          </w:tcPr>
          <w:p w14:paraId="33323C00"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29349668"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 xml:space="preserve">Degree of treated stenosis </w:t>
            </w:r>
          </w:p>
        </w:tc>
      </w:tr>
      <w:tr w:rsidR="00251DFC" w:rsidRPr="00BD1C2C" w14:paraId="6BFBE636" w14:textId="77777777" w:rsidTr="0013066A">
        <w:tc>
          <w:tcPr>
            <w:tcW w:w="3369" w:type="dxa"/>
            <w:vMerge/>
            <w:shd w:val="clear" w:color="auto" w:fill="auto"/>
          </w:tcPr>
          <w:p w14:paraId="405A483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6290E707"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 xml:space="preserve">History of diabetes </w:t>
            </w:r>
          </w:p>
        </w:tc>
      </w:tr>
      <w:tr w:rsidR="00251DFC" w:rsidRPr="00BD1C2C" w14:paraId="6E51FAE1" w14:textId="77777777" w:rsidTr="0013066A">
        <w:tc>
          <w:tcPr>
            <w:tcW w:w="3369" w:type="dxa"/>
            <w:vMerge/>
            <w:shd w:val="clear" w:color="auto" w:fill="auto"/>
          </w:tcPr>
          <w:p w14:paraId="39BB8A52"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6AB64A6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Hypercholesterolaemia</w:t>
            </w:r>
          </w:p>
        </w:tc>
      </w:tr>
      <w:tr w:rsidR="00251DFC" w:rsidRPr="00BD1C2C" w14:paraId="59FFA5A0" w14:textId="77777777" w:rsidTr="0013066A">
        <w:tc>
          <w:tcPr>
            <w:tcW w:w="3369" w:type="dxa"/>
            <w:vMerge/>
            <w:shd w:val="clear" w:color="auto" w:fill="auto"/>
          </w:tcPr>
          <w:p w14:paraId="5A128E49"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14E96CCD"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 xml:space="preserve">Hypertension </w:t>
            </w:r>
          </w:p>
        </w:tc>
      </w:tr>
      <w:tr w:rsidR="00251DFC" w:rsidRPr="00BD1C2C" w14:paraId="3E6CA510" w14:textId="77777777" w:rsidTr="0013066A">
        <w:tc>
          <w:tcPr>
            <w:tcW w:w="3369" w:type="dxa"/>
            <w:vMerge/>
            <w:shd w:val="clear" w:color="auto" w:fill="auto"/>
          </w:tcPr>
          <w:p w14:paraId="3F81CAF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7153FF0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Presence of contralateral stenosis or occlusion</w:t>
            </w:r>
            <w:r w:rsidRPr="00BD1C2C" w:rsidDel="000E72B6">
              <w:rPr>
                <w:rStyle w:val="FontStyle12"/>
                <w:rFonts w:ascii="Times New Roman" w:hAnsi="Times New Roman" w:cs="Times New Roman"/>
                <w:lang w:val="en-GB" w:eastAsia="en-US"/>
              </w:rPr>
              <w:t xml:space="preserve"> </w:t>
            </w:r>
          </w:p>
        </w:tc>
      </w:tr>
      <w:tr w:rsidR="00251DFC" w:rsidRPr="00BD1C2C" w14:paraId="1A420415" w14:textId="77777777" w:rsidTr="0013066A">
        <w:tc>
          <w:tcPr>
            <w:tcW w:w="3369" w:type="dxa"/>
            <w:vMerge/>
            <w:shd w:val="clear" w:color="auto" w:fill="auto"/>
          </w:tcPr>
          <w:p w14:paraId="69051CB8"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042BAABF"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Sex</w:t>
            </w:r>
            <w:r w:rsidRPr="00BD1C2C">
              <w:rPr>
                <w:rStyle w:val="FontStyle11"/>
                <w:rFonts w:ascii="Times New Roman" w:hAnsi="Times New Roman" w:cs="Times New Roman"/>
                <w:sz w:val="16"/>
                <w:szCs w:val="16"/>
                <w:lang w:val="en-GB" w:eastAsia="en-US"/>
              </w:rPr>
              <w:t xml:space="preserve"> </w:t>
            </w:r>
          </w:p>
        </w:tc>
      </w:tr>
      <w:tr w:rsidR="00251DFC" w:rsidRPr="00BD1C2C" w14:paraId="25251E93" w14:textId="77777777" w:rsidTr="0013066A">
        <w:tc>
          <w:tcPr>
            <w:tcW w:w="3369" w:type="dxa"/>
            <w:vMerge/>
            <w:shd w:val="clear" w:color="auto" w:fill="auto"/>
          </w:tcPr>
          <w:p w14:paraId="71A350E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21646FE3" w14:textId="77777777" w:rsidR="00251DFC" w:rsidRPr="00BD1C2C" w:rsidRDefault="00251DFC" w:rsidP="0013066A">
            <w:pPr>
              <w:pStyle w:val="Style2"/>
              <w:widowControl/>
              <w:spacing w:before="91" w:line="240" w:lineRule="auto"/>
              <w:rPr>
                <w:rStyle w:val="FontStyle12"/>
                <w:rFonts w:ascii="Times New Roman" w:hAnsi="Times New Roman" w:cs="Times New Roman"/>
                <w:i/>
                <w:lang w:val="en-GB" w:eastAsia="en-US"/>
              </w:rPr>
            </w:pPr>
            <w:r w:rsidRPr="00BD1C2C">
              <w:rPr>
                <w:rStyle w:val="FontStyle11"/>
                <w:rFonts w:ascii="Times New Roman" w:hAnsi="Times New Roman" w:cs="Times New Roman"/>
                <w:sz w:val="16"/>
                <w:szCs w:val="16"/>
                <w:lang w:val="en-GB"/>
              </w:rPr>
              <w:t xml:space="preserve">Side of stenosis (left/right) </w:t>
            </w:r>
          </w:p>
        </w:tc>
      </w:tr>
      <w:tr w:rsidR="00251DFC" w:rsidRPr="00BD1C2C" w14:paraId="312FCF6F" w14:textId="77777777" w:rsidTr="0013066A">
        <w:tc>
          <w:tcPr>
            <w:tcW w:w="3369" w:type="dxa"/>
            <w:vMerge/>
            <w:shd w:val="clear" w:color="auto" w:fill="auto"/>
          </w:tcPr>
          <w:p w14:paraId="1C12AF57"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13DD7074"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rPr>
              <w:t>Smoking (current or past)</w:t>
            </w:r>
          </w:p>
        </w:tc>
      </w:tr>
      <w:tr w:rsidR="00251DFC" w:rsidRPr="00BD1C2C" w14:paraId="17C69240" w14:textId="77777777" w:rsidTr="0013066A">
        <w:tc>
          <w:tcPr>
            <w:tcW w:w="3369" w:type="dxa"/>
            <w:vMerge/>
            <w:shd w:val="clear" w:color="auto" w:fill="auto"/>
          </w:tcPr>
          <w:p w14:paraId="12359F22"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42" w:type="dxa"/>
            <w:shd w:val="clear" w:color="auto" w:fill="auto"/>
          </w:tcPr>
          <w:p w14:paraId="2E268B9B" w14:textId="77777777" w:rsidR="00251DFC" w:rsidRPr="00BD1C2C" w:rsidRDefault="00251DFC" w:rsidP="0013066A">
            <w:pPr>
              <w:pStyle w:val="Style2"/>
              <w:widowControl/>
              <w:spacing w:before="91" w:line="240" w:lineRule="auto"/>
              <w:rPr>
                <w:rStyle w:val="FontStyle12"/>
                <w:rFonts w:ascii="Times New Roman" w:hAnsi="Times New Roman" w:cs="Times New Roman"/>
                <w:i/>
                <w:lang w:val="en-GB" w:eastAsia="en-US"/>
              </w:rPr>
            </w:pPr>
            <w:r w:rsidRPr="00BD1C2C">
              <w:rPr>
                <w:rStyle w:val="FontStyle11"/>
                <w:rFonts w:ascii="Times New Roman" w:hAnsi="Times New Roman" w:cs="Times New Roman"/>
                <w:sz w:val="16"/>
                <w:szCs w:val="16"/>
                <w:lang w:val="en-GB" w:eastAsia="en-US"/>
              </w:rPr>
              <w:t>Type of the most recent ipsilateral ischaemic event before randomisation</w:t>
            </w:r>
            <w:r w:rsidRPr="00BD1C2C" w:rsidDel="000E72B6">
              <w:rPr>
                <w:rStyle w:val="FontStyle12"/>
                <w:rFonts w:ascii="Times New Roman" w:hAnsi="Times New Roman" w:cs="Times New Roman"/>
                <w:i/>
                <w:lang w:val="en-GB"/>
              </w:rPr>
              <w:t xml:space="preserve"> </w:t>
            </w:r>
          </w:p>
        </w:tc>
      </w:tr>
    </w:tbl>
    <w:p w14:paraId="37E56C07" w14:textId="77777777" w:rsidR="00251DFC" w:rsidRPr="00BD1C2C" w:rsidRDefault="00251DFC" w:rsidP="00251DFC">
      <w:pPr>
        <w:pStyle w:val="Style2"/>
        <w:widowControl/>
        <w:spacing w:before="91" w:line="240" w:lineRule="auto"/>
        <w:rPr>
          <w:rStyle w:val="FontStyle12"/>
          <w:rFonts w:ascii="Times New Roman" w:hAnsi="Times New Roman" w:cs="Times New Roman"/>
          <w:sz w:val="22"/>
          <w:szCs w:val="22"/>
          <w:lang w:val="en-GB" w:eastAsia="en-US"/>
        </w:rPr>
      </w:pPr>
    </w:p>
    <w:p w14:paraId="776E2D05" w14:textId="77777777" w:rsidR="00251DFC" w:rsidRPr="00BD1C2C" w:rsidRDefault="0000771C" w:rsidP="00251DFC">
      <w:pPr>
        <w:pStyle w:val="Style2"/>
        <w:widowControl/>
        <w:spacing w:before="91" w:line="240" w:lineRule="auto"/>
        <w:rPr>
          <w:rStyle w:val="FontStyle12"/>
          <w:rFonts w:ascii="Times New Roman" w:hAnsi="Times New Roman" w:cs="Times New Roman"/>
          <w:sz w:val="24"/>
          <w:szCs w:val="24"/>
          <w:lang w:val="en-GB" w:eastAsia="en-US"/>
        </w:rPr>
      </w:pPr>
      <w:r w:rsidRPr="00BD1C2C">
        <w:rPr>
          <w:rStyle w:val="FontStyle12"/>
          <w:rFonts w:ascii="Times New Roman" w:hAnsi="Times New Roman" w:cs="Times New Roman"/>
          <w:b/>
          <w:sz w:val="24"/>
          <w:szCs w:val="24"/>
          <w:lang w:val="en-GB" w:eastAsia="en-US"/>
        </w:rPr>
        <w:t>Table II</w:t>
      </w:r>
      <w:r w:rsidR="00251DFC" w:rsidRPr="00BD1C2C">
        <w:rPr>
          <w:rStyle w:val="FontStyle12"/>
          <w:rFonts w:ascii="Times New Roman" w:hAnsi="Times New Roman" w:cs="Times New Roman"/>
          <w:b/>
          <w:sz w:val="24"/>
          <w:szCs w:val="24"/>
          <w:lang w:val="en-GB" w:eastAsia="en-US"/>
        </w:rPr>
        <w:t>:</w:t>
      </w:r>
      <w:r w:rsidR="00251DFC" w:rsidRPr="00BD1C2C">
        <w:rPr>
          <w:rStyle w:val="FontStyle12"/>
          <w:rFonts w:ascii="Times New Roman" w:hAnsi="Times New Roman" w:cs="Times New Roman"/>
          <w:sz w:val="24"/>
          <w:szCs w:val="24"/>
          <w:lang w:val="en-GB" w:eastAsia="en-US"/>
        </w:rPr>
        <w:t xml:space="preserve"> Types and categorisation of stents used in EVA-3S, SPACE and ICSS</w:t>
      </w:r>
    </w:p>
    <w:p w14:paraId="58C208E8" w14:textId="77777777" w:rsidR="00251DFC" w:rsidRPr="00BD1C2C" w:rsidRDefault="00251DFC" w:rsidP="00251DFC">
      <w:pPr>
        <w:pStyle w:val="Style2"/>
        <w:widowControl/>
        <w:spacing w:before="91" w:line="240" w:lineRule="auto"/>
        <w:rPr>
          <w:rStyle w:val="FontStyle12"/>
          <w:rFonts w:ascii="Times New Roman" w:hAnsi="Times New Roman" w:cs="Times New Roman"/>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769"/>
      </w:tblGrid>
      <w:tr w:rsidR="00251DFC" w:rsidRPr="00BD1C2C" w14:paraId="4B8B451A" w14:textId="77777777" w:rsidTr="0013066A">
        <w:tc>
          <w:tcPr>
            <w:tcW w:w="3348" w:type="dxa"/>
            <w:vMerge w:val="restart"/>
          </w:tcPr>
          <w:p w14:paraId="26DCA24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Closed-cell design</w:t>
            </w:r>
          </w:p>
        </w:tc>
        <w:tc>
          <w:tcPr>
            <w:tcW w:w="5863" w:type="dxa"/>
          </w:tcPr>
          <w:p w14:paraId="794AF44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 xml:space="preserve">Carotid </w:t>
            </w:r>
            <w:proofErr w:type="spellStart"/>
            <w:r w:rsidRPr="00BD1C2C">
              <w:rPr>
                <w:rStyle w:val="FontStyle12"/>
                <w:rFonts w:ascii="Times New Roman" w:hAnsi="Times New Roman" w:cs="Times New Roman"/>
                <w:lang w:val="en-GB" w:eastAsia="en-US"/>
              </w:rPr>
              <w:t>Wallstent</w:t>
            </w:r>
            <w:proofErr w:type="spellEnd"/>
            <w:r w:rsidRPr="00BD1C2C">
              <w:rPr>
                <w:rStyle w:val="FontStyle12"/>
                <w:rFonts w:ascii="Times New Roman" w:hAnsi="Times New Roman" w:cs="Times New Roman"/>
                <w:lang w:val="en-GB" w:eastAsia="en-US"/>
              </w:rPr>
              <w:t xml:space="preserve"> (Boston Scientific)</w:t>
            </w:r>
          </w:p>
        </w:tc>
      </w:tr>
      <w:tr w:rsidR="00251DFC" w:rsidRPr="00BD1C2C" w14:paraId="168D926B" w14:textId="77777777" w:rsidTr="0013066A">
        <w:tc>
          <w:tcPr>
            <w:tcW w:w="3348" w:type="dxa"/>
            <w:vMerge/>
          </w:tcPr>
          <w:p w14:paraId="38E6DE8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0BF3799F"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Xact (Abbott)</w:t>
            </w:r>
          </w:p>
        </w:tc>
      </w:tr>
      <w:tr w:rsidR="00251DFC" w:rsidRPr="00BD1C2C" w14:paraId="62840CCF" w14:textId="77777777" w:rsidTr="0013066A">
        <w:tc>
          <w:tcPr>
            <w:tcW w:w="3348" w:type="dxa"/>
            <w:vMerge/>
          </w:tcPr>
          <w:p w14:paraId="5036DB8D"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63919167"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Cristallo</w:t>
            </w:r>
            <w:proofErr w:type="spellEnd"/>
            <w:r w:rsidRPr="00BD1C2C">
              <w:rPr>
                <w:rStyle w:val="FontStyle12"/>
                <w:rFonts w:ascii="Times New Roman" w:hAnsi="Times New Roman" w:cs="Times New Roman"/>
                <w:lang w:val="en-GB" w:eastAsia="en-US"/>
              </w:rPr>
              <w:t xml:space="preserve"> </w:t>
            </w:r>
            <w:proofErr w:type="spellStart"/>
            <w:r w:rsidRPr="00BD1C2C">
              <w:rPr>
                <w:rStyle w:val="FontStyle12"/>
                <w:rFonts w:ascii="Times New Roman" w:hAnsi="Times New Roman" w:cs="Times New Roman"/>
                <w:lang w:val="en-GB" w:eastAsia="en-US"/>
              </w:rPr>
              <w:t>ideale</w:t>
            </w:r>
            <w:proofErr w:type="spellEnd"/>
            <w:r w:rsidRPr="00BD1C2C">
              <w:rPr>
                <w:rStyle w:val="FontStyle12"/>
                <w:rFonts w:ascii="Times New Roman" w:hAnsi="Times New Roman" w:cs="Times New Roman"/>
                <w:lang w:val="en-GB" w:eastAsia="en-US"/>
              </w:rPr>
              <w:t xml:space="preserve"> (</w:t>
            </w:r>
            <w:proofErr w:type="spellStart"/>
            <w:r w:rsidRPr="00BD1C2C">
              <w:rPr>
                <w:rStyle w:val="FontStyle12"/>
                <w:rFonts w:ascii="Times New Roman" w:hAnsi="Times New Roman" w:cs="Times New Roman"/>
                <w:lang w:val="en-GB" w:eastAsia="en-US"/>
              </w:rPr>
              <w:t>Invatec</w:t>
            </w:r>
            <w:proofErr w:type="spellEnd"/>
            <w:r w:rsidRPr="00BD1C2C">
              <w:rPr>
                <w:rStyle w:val="FontStyle12"/>
                <w:rFonts w:ascii="Times New Roman" w:hAnsi="Times New Roman" w:cs="Times New Roman"/>
                <w:lang w:val="en-GB" w:eastAsia="en-US"/>
              </w:rPr>
              <w:t>)</w:t>
            </w:r>
          </w:p>
        </w:tc>
      </w:tr>
      <w:tr w:rsidR="00251DFC" w:rsidRPr="00BD1C2C" w14:paraId="4C44E812" w14:textId="77777777" w:rsidTr="0013066A">
        <w:tc>
          <w:tcPr>
            <w:tcW w:w="3348" w:type="dxa"/>
            <w:vMerge w:val="restart"/>
          </w:tcPr>
          <w:p w14:paraId="7EEC4CB8"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Open-cell design</w:t>
            </w:r>
          </w:p>
        </w:tc>
        <w:tc>
          <w:tcPr>
            <w:tcW w:w="5863" w:type="dxa"/>
          </w:tcPr>
          <w:p w14:paraId="4A4821C9"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Precise RX (Cordis)</w:t>
            </w:r>
          </w:p>
        </w:tc>
      </w:tr>
      <w:tr w:rsidR="00251DFC" w:rsidRPr="00BD1C2C" w14:paraId="49144396" w14:textId="77777777" w:rsidTr="0013066A">
        <w:tc>
          <w:tcPr>
            <w:tcW w:w="3348" w:type="dxa"/>
            <w:vMerge/>
          </w:tcPr>
          <w:p w14:paraId="0A87E26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1A04E6B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Acculink</w:t>
            </w:r>
            <w:proofErr w:type="spellEnd"/>
            <w:r w:rsidRPr="00BD1C2C">
              <w:rPr>
                <w:rStyle w:val="FontStyle12"/>
                <w:rFonts w:ascii="Times New Roman" w:hAnsi="Times New Roman" w:cs="Times New Roman"/>
                <w:lang w:val="en-GB" w:eastAsia="en-US"/>
              </w:rPr>
              <w:t xml:space="preserve"> (Guidant/Abbott)</w:t>
            </w:r>
          </w:p>
        </w:tc>
      </w:tr>
      <w:tr w:rsidR="00251DFC" w:rsidRPr="00BD1C2C" w14:paraId="3AB3AE4F" w14:textId="77777777" w:rsidTr="0013066A">
        <w:tc>
          <w:tcPr>
            <w:tcW w:w="3348" w:type="dxa"/>
            <w:vMerge/>
          </w:tcPr>
          <w:p w14:paraId="2971BF6A"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0BC90AE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Protégé (EV3)</w:t>
            </w:r>
          </w:p>
        </w:tc>
      </w:tr>
      <w:tr w:rsidR="00251DFC" w:rsidRPr="00BD1C2C" w14:paraId="093E09A0" w14:textId="77777777" w:rsidTr="0013066A">
        <w:tc>
          <w:tcPr>
            <w:tcW w:w="3348" w:type="dxa"/>
            <w:vMerge/>
          </w:tcPr>
          <w:p w14:paraId="1A32F29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2F91D8FC"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Next Stent (Boston Scientific)</w:t>
            </w:r>
          </w:p>
        </w:tc>
      </w:tr>
      <w:tr w:rsidR="00251DFC" w:rsidRPr="00BD1C2C" w14:paraId="43E4CEB3" w14:textId="77777777" w:rsidTr="0013066A">
        <w:tc>
          <w:tcPr>
            <w:tcW w:w="3348" w:type="dxa"/>
            <w:vMerge/>
          </w:tcPr>
          <w:p w14:paraId="2C03FCF1"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5863" w:type="dxa"/>
          </w:tcPr>
          <w:p w14:paraId="300B7DC5"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Exponent (Medtronic)</w:t>
            </w:r>
          </w:p>
        </w:tc>
      </w:tr>
    </w:tbl>
    <w:p w14:paraId="3BDA8497" w14:textId="77777777" w:rsidR="00251DFC" w:rsidRPr="00BD1C2C" w:rsidRDefault="00251DFC" w:rsidP="00251DFC">
      <w:pPr>
        <w:pStyle w:val="Style2"/>
        <w:widowControl/>
        <w:spacing w:before="91" w:line="240" w:lineRule="auto"/>
        <w:rPr>
          <w:rStyle w:val="FontStyle12"/>
          <w:rFonts w:ascii="Times New Roman" w:hAnsi="Times New Roman" w:cs="Times New Roman"/>
          <w:sz w:val="22"/>
          <w:szCs w:val="22"/>
          <w:lang w:val="en-GB" w:eastAsia="en-US"/>
        </w:rPr>
      </w:pPr>
    </w:p>
    <w:p w14:paraId="491D6D58" w14:textId="77777777" w:rsidR="00251DFC" w:rsidRPr="00BD1C2C" w:rsidRDefault="0000771C" w:rsidP="00251DFC">
      <w:pPr>
        <w:pStyle w:val="Style2"/>
        <w:widowControl/>
        <w:spacing w:before="91" w:line="240" w:lineRule="auto"/>
        <w:rPr>
          <w:rStyle w:val="FontStyle12"/>
          <w:rFonts w:ascii="Times New Roman" w:hAnsi="Times New Roman" w:cs="Times New Roman"/>
          <w:sz w:val="24"/>
          <w:szCs w:val="24"/>
          <w:lang w:val="en-GB" w:eastAsia="en-US"/>
        </w:rPr>
      </w:pPr>
      <w:r w:rsidRPr="00BD1C2C">
        <w:rPr>
          <w:rStyle w:val="FontStyle12"/>
          <w:rFonts w:ascii="Times New Roman" w:hAnsi="Times New Roman" w:cs="Times New Roman"/>
          <w:b/>
          <w:sz w:val="24"/>
          <w:szCs w:val="24"/>
          <w:lang w:val="en-GB" w:eastAsia="en-US"/>
        </w:rPr>
        <w:t>Table III</w:t>
      </w:r>
      <w:r w:rsidR="00251DFC" w:rsidRPr="00BD1C2C">
        <w:rPr>
          <w:rStyle w:val="FontStyle12"/>
          <w:rFonts w:ascii="Times New Roman" w:hAnsi="Times New Roman" w:cs="Times New Roman"/>
          <w:b/>
          <w:sz w:val="24"/>
          <w:szCs w:val="24"/>
          <w:lang w:val="en-GB" w:eastAsia="en-US"/>
        </w:rPr>
        <w:t>:</w:t>
      </w:r>
      <w:r w:rsidR="00251DFC" w:rsidRPr="00BD1C2C">
        <w:rPr>
          <w:rStyle w:val="FontStyle12"/>
          <w:rFonts w:ascii="Times New Roman" w:hAnsi="Times New Roman" w:cs="Times New Roman"/>
          <w:sz w:val="24"/>
          <w:szCs w:val="24"/>
          <w:lang w:val="en-GB" w:eastAsia="en-US"/>
        </w:rPr>
        <w:t xml:space="preserve"> Types of Protection-Devices used in EVA-3s, SPACE and ICSS</w:t>
      </w:r>
    </w:p>
    <w:p w14:paraId="08F8B6AB" w14:textId="77777777" w:rsidR="00251DFC" w:rsidRPr="00BD1C2C" w:rsidRDefault="00251DFC" w:rsidP="00251DFC">
      <w:pPr>
        <w:pStyle w:val="Style2"/>
        <w:widowControl/>
        <w:spacing w:before="91" w:line="240" w:lineRule="auto"/>
        <w:rPr>
          <w:rStyle w:val="FontStyle12"/>
          <w:rFonts w:ascii="Times New Roman" w:hAnsi="Times New Roman" w:cs="Times New Roman"/>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3"/>
      </w:tblGrid>
      <w:tr w:rsidR="00251DFC" w:rsidRPr="00BD1C2C" w14:paraId="10D62761" w14:textId="77777777" w:rsidTr="0013066A">
        <w:tc>
          <w:tcPr>
            <w:tcW w:w="2802" w:type="dxa"/>
            <w:vMerge w:val="restart"/>
            <w:shd w:val="clear" w:color="auto" w:fill="auto"/>
          </w:tcPr>
          <w:p w14:paraId="48846E99"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Distal Filter</w:t>
            </w:r>
          </w:p>
        </w:tc>
        <w:tc>
          <w:tcPr>
            <w:tcW w:w="6452" w:type="dxa"/>
            <w:shd w:val="clear" w:color="auto" w:fill="auto"/>
          </w:tcPr>
          <w:p w14:paraId="1B93D16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Spider (EV3)</w:t>
            </w:r>
          </w:p>
        </w:tc>
      </w:tr>
      <w:tr w:rsidR="00251DFC" w:rsidRPr="00BD1C2C" w14:paraId="02690766" w14:textId="77777777" w:rsidTr="0013066A">
        <w:tc>
          <w:tcPr>
            <w:tcW w:w="2802" w:type="dxa"/>
            <w:vMerge/>
            <w:shd w:val="clear" w:color="auto" w:fill="auto"/>
          </w:tcPr>
          <w:p w14:paraId="02B1737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shd w:val="clear" w:color="auto" w:fill="auto"/>
          </w:tcPr>
          <w:p w14:paraId="6CA7F4D9"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FilterWire</w:t>
            </w:r>
            <w:proofErr w:type="spellEnd"/>
            <w:r w:rsidRPr="00BD1C2C">
              <w:rPr>
                <w:rStyle w:val="FontStyle12"/>
                <w:rFonts w:ascii="Times New Roman" w:hAnsi="Times New Roman" w:cs="Times New Roman"/>
                <w:lang w:val="en-GB" w:eastAsia="en-US"/>
              </w:rPr>
              <w:t xml:space="preserve"> EZ (Boston Scientific)</w:t>
            </w:r>
          </w:p>
        </w:tc>
      </w:tr>
      <w:tr w:rsidR="00251DFC" w:rsidRPr="00BD1C2C" w14:paraId="2C93E310" w14:textId="77777777" w:rsidTr="0013066A">
        <w:tc>
          <w:tcPr>
            <w:tcW w:w="2802" w:type="dxa"/>
            <w:vMerge/>
            <w:shd w:val="clear" w:color="auto" w:fill="auto"/>
          </w:tcPr>
          <w:p w14:paraId="124D8117"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shd w:val="clear" w:color="auto" w:fill="auto"/>
          </w:tcPr>
          <w:p w14:paraId="425E0934"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Accunet</w:t>
            </w:r>
            <w:proofErr w:type="spellEnd"/>
            <w:r w:rsidRPr="00BD1C2C">
              <w:rPr>
                <w:rStyle w:val="FontStyle12"/>
                <w:rFonts w:ascii="Times New Roman" w:hAnsi="Times New Roman" w:cs="Times New Roman"/>
                <w:lang w:val="en-GB" w:eastAsia="en-US"/>
              </w:rPr>
              <w:t xml:space="preserve"> (Abbott/Guidant)</w:t>
            </w:r>
          </w:p>
        </w:tc>
      </w:tr>
      <w:tr w:rsidR="00251DFC" w:rsidRPr="00BD1C2C" w14:paraId="07440236" w14:textId="77777777" w:rsidTr="0013066A">
        <w:tc>
          <w:tcPr>
            <w:tcW w:w="2802" w:type="dxa"/>
            <w:vMerge/>
            <w:shd w:val="clear" w:color="auto" w:fill="auto"/>
          </w:tcPr>
          <w:p w14:paraId="407AA81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shd w:val="clear" w:color="auto" w:fill="auto"/>
          </w:tcPr>
          <w:p w14:paraId="3C904F6E"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EmboShield</w:t>
            </w:r>
            <w:proofErr w:type="spellEnd"/>
            <w:r w:rsidRPr="00BD1C2C">
              <w:rPr>
                <w:rStyle w:val="FontStyle12"/>
                <w:rFonts w:ascii="Times New Roman" w:hAnsi="Times New Roman" w:cs="Times New Roman"/>
                <w:lang w:val="en-GB" w:eastAsia="en-US"/>
              </w:rPr>
              <w:t xml:space="preserve"> (Abbott)</w:t>
            </w:r>
          </w:p>
        </w:tc>
      </w:tr>
      <w:tr w:rsidR="00251DFC" w:rsidRPr="00BD1C2C" w14:paraId="5C1CFDC2" w14:textId="77777777" w:rsidTr="0013066A">
        <w:tc>
          <w:tcPr>
            <w:tcW w:w="2802" w:type="dxa"/>
            <w:vMerge/>
            <w:shd w:val="clear" w:color="auto" w:fill="auto"/>
          </w:tcPr>
          <w:p w14:paraId="57157D86"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shd w:val="clear" w:color="auto" w:fill="auto"/>
          </w:tcPr>
          <w:p w14:paraId="6E7D6873"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Angioguard</w:t>
            </w:r>
            <w:proofErr w:type="spellEnd"/>
            <w:r w:rsidRPr="00BD1C2C">
              <w:rPr>
                <w:rStyle w:val="FontStyle12"/>
                <w:rFonts w:ascii="Times New Roman" w:hAnsi="Times New Roman" w:cs="Times New Roman"/>
                <w:lang w:val="en-GB" w:eastAsia="en-US"/>
              </w:rPr>
              <w:t xml:space="preserve"> (Cordis)</w:t>
            </w:r>
          </w:p>
        </w:tc>
      </w:tr>
      <w:tr w:rsidR="00251DFC" w:rsidRPr="00BD1C2C" w14:paraId="47FD66AC" w14:textId="77777777" w:rsidTr="0013066A">
        <w:tc>
          <w:tcPr>
            <w:tcW w:w="2802" w:type="dxa"/>
            <w:vMerge/>
            <w:shd w:val="clear" w:color="auto" w:fill="auto"/>
          </w:tcPr>
          <w:p w14:paraId="5F3FF097"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shd w:val="clear" w:color="auto" w:fill="auto"/>
          </w:tcPr>
          <w:p w14:paraId="32FDA706"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Neuroshield</w:t>
            </w:r>
            <w:proofErr w:type="spellEnd"/>
            <w:r w:rsidRPr="00BD1C2C">
              <w:rPr>
                <w:rStyle w:val="FontStyle12"/>
                <w:rFonts w:ascii="Times New Roman" w:hAnsi="Times New Roman" w:cs="Times New Roman"/>
                <w:lang w:val="en-GB" w:eastAsia="en-US"/>
              </w:rPr>
              <w:t xml:space="preserve"> (</w:t>
            </w:r>
            <w:proofErr w:type="spellStart"/>
            <w:r w:rsidRPr="00BD1C2C">
              <w:rPr>
                <w:rStyle w:val="FontStyle12"/>
                <w:rFonts w:ascii="Times New Roman" w:hAnsi="Times New Roman" w:cs="Times New Roman"/>
                <w:lang w:val="en-GB" w:eastAsia="en-US"/>
              </w:rPr>
              <w:t>MedNova</w:t>
            </w:r>
            <w:proofErr w:type="spellEnd"/>
            <w:r w:rsidRPr="00BD1C2C">
              <w:rPr>
                <w:rStyle w:val="FontStyle12"/>
                <w:rFonts w:ascii="Times New Roman" w:hAnsi="Times New Roman" w:cs="Times New Roman"/>
                <w:lang w:val="en-GB" w:eastAsia="en-US"/>
              </w:rPr>
              <w:t>)</w:t>
            </w:r>
          </w:p>
        </w:tc>
      </w:tr>
      <w:tr w:rsidR="00251DFC" w:rsidRPr="00BD1C2C" w14:paraId="6B910EEF" w14:textId="77777777" w:rsidTr="0013066A">
        <w:tc>
          <w:tcPr>
            <w:tcW w:w="2802" w:type="dxa"/>
            <w:shd w:val="clear" w:color="auto" w:fill="auto"/>
          </w:tcPr>
          <w:p w14:paraId="5F58B7FD"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Distal balloon</w:t>
            </w:r>
          </w:p>
        </w:tc>
        <w:tc>
          <w:tcPr>
            <w:tcW w:w="6452" w:type="dxa"/>
            <w:shd w:val="clear" w:color="auto" w:fill="auto"/>
          </w:tcPr>
          <w:p w14:paraId="69974724"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GuardWire</w:t>
            </w:r>
            <w:proofErr w:type="spellEnd"/>
            <w:r w:rsidRPr="00BD1C2C">
              <w:rPr>
                <w:rStyle w:val="FontStyle12"/>
                <w:rFonts w:ascii="Times New Roman" w:hAnsi="Times New Roman" w:cs="Times New Roman"/>
                <w:lang w:val="en-GB" w:eastAsia="en-US"/>
              </w:rPr>
              <w:t xml:space="preserve"> Plus (Medtronic)</w:t>
            </w:r>
          </w:p>
        </w:tc>
      </w:tr>
      <w:tr w:rsidR="00251DFC" w:rsidRPr="00BD1C2C" w14:paraId="4D6EE2A5" w14:textId="77777777" w:rsidTr="0013066A">
        <w:tc>
          <w:tcPr>
            <w:tcW w:w="2802" w:type="dxa"/>
            <w:shd w:val="clear" w:color="auto" w:fill="auto"/>
          </w:tcPr>
          <w:p w14:paraId="36F6E561"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Proximal balloon</w:t>
            </w:r>
          </w:p>
        </w:tc>
        <w:tc>
          <w:tcPr>
            <w:tcW w:w="6452" w:type="dxa"/>
            <w:shd w:val="clear" w:color="auto" w:fill="auto"/>
          </w:tcPr>
          <w:p w14:paraId="38CA8C23"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MO.MA (</w:t>
            </w:r>
            <w:proofErr w:type="spellStart"/>
            <w:r w:rsidRPr="00BD1C2C">
              <w:rPr>
                <w:rStyle w:val="FontStyle12"/>
                <w:rFonts w:ascii="Times New Roman" w:hAnsi="Times New Roman" w:cs="Times New Roman"/>
                <w:lang w:val="en-GB" w:eastAsia="en-US"/>
              </w:rPr>
              <w:t>Invatec</w:t>
            </w:r>
            <w:proofErr w:type="spellEnd"/>
            <w:r w:rsidRPr="00BD1C2C">
              <w:rPr>
                <w:rStyle w:val="FontStyle12"/>
                <w:rFonts w:ascii="Times New Roman" w:hAnsi="Times New Roman" w:cs="Times New Roman"/>
                <w:lang w:val="en-GB" w:eastAsia="en-US"/>
              </w:rPr>
              <w:t>)</w:t>
            </w:r>
          </w:p>
        </w:tc>
      </w:tr>
      <w:tr w:rsidR="00251DFC" w:rsidRPr="00BD1C2C" w14:paraId="2D3211EA" w14:textId="77777777" w:rsidTr="0013066A">
        <w:tc>
          <w:tcPr>
            <w:tcW w:w="2802" w:type="dxa"/>
            <w:vMerge w:val="restart"/>
            <w:tcBorders>
              <w:top w:val="single" w:sz="4" w:space="0" w:color="auto"/>
              <w:left w:val="single" w:sz="4" w:space="0" w:color="auto"/>
              <w:right w:val="single" w:sz="4" w:space="0" w:color="auto"/>
            </w:tcBorders>
            <w:shd w:val="clear" w:color="auto" w:fill="auto"/>
          </w:tcPr>
          <w:p w14:paraId="31F9BC2B"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Flow reversal</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54B48A7F"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PercuSurge</w:t>
            </w:r>
            <w:proofErr w:type="spellEnd"/>
            <w:r w:rsidRPr="00BD1C2C">
              <w:rPr>
                <w:rStyle w:val="FontStyle12"/>
                <w:rFonts w:ascii="Times New Roman" w:hAnsi="Times New Roman" w:cs="Times New Roman"/>
                <w:lang w:val="en-GB" w:eastAsia="en-US"/>
              </w:rPr>
              <w:t xml:space="preserve"> (Medtronic)</w:t>
            </w:r>
          </w:p>
        </w:tc>
      </w:tr>
      <w:tr w:rsidR="00251DFC" w:rsidRPr="00BD1C2C" w14:paraId="2FC2E546" w14:textId="77777777" w:rsidTr="0013066A">
        <w:tc>
          <w:tcPr>
            <w:tcW w:w="2802" w:type="dxa"/>
            <w:vMerge/>
            <w:tcBorders>
              <w:left w:val="single" w:sz="4" w:space="0" w:color="auto"/>
              <w:bottom w:val="single" w:sz="4" w:space="0" w:color="auto"/>
              <w:right w:val="single" w:sz="4" w:space="0" w:color="auto"/>
            </w:tcBorders>
            <w:shd w:val="clear" w:color="auto" w:fill="auto"/>
          </w:tcPr>
          <w:p w14:paraId="74E6076F"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37B82DD4"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Gore Neuroprotection System (Gore)</w:t>
            </w:r>
          </w:p>
        </w:tc>
      </w:tr>
      <w:tr w:rsidR="00251DFC" w:rsidRPr="00BD1C2C" w14:paraId="72327897" w14:textId="77777777" w:rsidTr="0013066A">
        <w:tc>
          <w:tcPr>
            <w:tcW w:w="2802" w:type="dxa"/>
            <w:tcBorders>
              <w:top w:val="single" w:sz="4" w:space="0" w:color="auto"/>
              <w:left w:val="single" w:sz="4" w:space="0" w:color="auto"/>
              <w:bottom w:val="single" w:sz="4" w:space="0" w:color="auto"/>
              <w:right w:val="single" w:sz="4" w:space="0" w:color="auto"/>
            </w:tcBorders>
            <w:shd w:val="clear" w:color="auto" w:fill="auto"/>
          </w:tcPr>
          <w:p w14:paraId="62E27E4D" w14:textId="77777777" w:rsidR="00251DFC" w:rsidRPr="00BD1C2C" w:rsidRDefault="00251DFC" w:rsidP="0013066A">
            <w:pPr>
              <w:pStyle w:val="Style2"/>
              <w:widowControl/>
              <w:spacing w:before="91" w:line="240" w:lineRule="auto"/>
              <w:rPr>
                <w:rStyle w:val="FontStyle12"/>
                <w:rFonts w:ascii="Times New Roman" w:hAnsi="Times New Roman" w:cs="Times New Roman"/>
                <w:lang w:val="en-GB" w:eastAsia="en-US"/>
              </w:rPr>
            </w:pPr>
            <w:r w:rsidRPr="00BD1C2C">
              <w:rPr>
                <w:rStyle w:val="FontStyle12"/>
                <w:rFonts w:ascii="Times New Roman" w:hAnsi="Times New Roman" w:cs="Times New Roman"/>
                <w:lang w:val="en-GB" w:eastAsia="en-US"/>
              </w:rPr>
              <w:t>Other</w:t>
            </w:r>
          </w:p>
        </w:tc>
        <w:tc>
          <w:tcPr>
            <w:tcW w:w="6452" w:type="dxa"/>
            <w:tcBorders>
              <w:top w:val="single" w:sz="4" w:space="0" w:color="auto"/>
              <w:left w:val="single" w:sz="4" w:space="0" w:color="auto"/>
              <w:bottom w:val="single" w:sz="4" w:space="0" w:color="auto"/>
              <w:right w:val="single" w:sz="4" w:space="0" w:color="auto"/>
            </w:tcBorders>
            <w:shd w:val="clear" w:color="auto" w:fill="auto"/>
          </w:tcPr>
          <w:p w14:paraId="261441F1" w14:textId="77777777" w:rsidR="00251DFC" w:rsidRPr="00A24630" w:rsidRDefault="00251DFC" w:rsidP="0013066A">
            <w:pPr>
              <w:pStyle w:val="Style2"/>
              <w:widowControl/>
              <w:spacing w:before="91" w:line="240" w:lineRule="auto"/>
              <w:rPr>
                <w:rStyle w:val="FontStyle12"/>
                <w:rFonts w:ascii="Times New Roman" w:hAnsi="Times New Roman" w:cs="Times New Roman"/>
                <w:lang w:val="en-GB" w:eastAsia="en-US"/>
              </w:rPr>
            </w:pPr>
            <w:proofErr w:type="spellStart"/>
            <w:r w:rsidRPr="00BD1C2C">
              <w:rPr>
                <w:rStyle w:val="FontStyle12"/>
                <w:rFonts w:ascii="Times New Roman" w:hAnsi="Times New Roman" w:cs="Times New Roman"/>
                <w:lang w:val="en-GB" w:eastAsia="en-US"/>
              </w:rPr>
              <w:t>Parodi</w:t>
            </w:r>
            <w:proofErr w:type="spellEnd"/>
            <w:r w:rsidRPr="00BD1C2C">
              <w:rPr>
                <w:rStyle w:val="FontStyle12"/>
                <w:rFonts w:ascii="Times New Roman" w:hAnsi="Times New Roman" w:cs="Times New Roman"/>
                <w:lang w:val="en-GB" w:eastAsia="en-US"/>
              </w:rPr>
              <w:t xml:space="preserve"> anti embolism system (Arteria Medical Science)</w:t>
            </w:r>
            <w:bookmarkStart w:id="1" w:name="_GoBack"/>
            <w:bookmarkEnd w:id="1"/>
          </w:p>
        </w:tc>
      </w:tr>
    </w:tbl>
    <w:p w14:paraId="154921FC" w14:textId="77777777" w:rsidR="00251DFC" w:rsidRPr="00251DFC" w:rsidRDefault="00251DFC" w:rsidP="0000771C">
      <w:pPr>
        <w:rPr>
          <w:lang w:val="en-GB"/>
        </w:rPr>
      </w:pPr>
    </w:p>
    <w:sectPr w:rsidR="00251DFC" w:rsidRPr="00251DF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4B3D" w14:textId="77777777" w:rsidR="008F2C8F" w:rsidRDefault="008F2C8F" w:rsidP="0000771C">
      <w:r>
        <w:separator/>
      </w:r>
    </w:p>
  </w:endnote>
  <w:endnote w:type="continuationSeparator" w:id="0">
    <w:p w14:paraId="29DB0E55" w14:textId="77777777" w:rsidR="008F2C8F" w:rsidRDefault="008F2C8F" w:rsidP="000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49121"/>
      <w:docPartObj>
        <w:docPartGallery w:val="Page Numbers (Bottom of Page)"/>
        <w:docPartUnique/>
      </w:docPartObj>
    </w:sdtPr>
    <w:sdtEndPr/>
    <w:sdtContent>
      <w:p w14:paraId="131B3015" w14:textId="123B7826" w:rsidR="0013066A" w:rsidRDefault="0013066A">
        <w:pPr>
          <w:pStyle w:val="Fuzeile"/>
          <w:jc w:val="center"/>
        </w:pPr>
        <w:r>
          <w:fldChar w:fldCharType="begin"/>
        </w:r>
        <w:r>
          <w:instrText>PAGE   \* MERGEFORMAT</w:instrText>
        </w:r>
        <w:r>
          <w:fldChar w:fldCharType="separate"/>
        </w:r>
        <w:r w:rsidR="00BD1C2C">
          <w:rPr>
            <w:noProof/>
          </w:rPr>
          <w:t>8</w:t>
        </w:r>
        <w:r>
          <w:fldChar w:fldCharType="end"/>
        </w:r>
      </w:p>
    </w:sdtContent>
  </w:sdt>
  <w:p w14:paraId="1510540C" w14:textId="77777777" w:rsidR="0013066A" w:rsidRDefault="001306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B8EF" w14:textId="77777777" w:rsidR="008F2C8F" w:rsidRDefault="008F2C8F" w:rsidP="0000771C">
      <w:r>
        <w:separator/>
      </w:r>
    </w:p>
  </w:footnote>
  <w:footnote w:type="continuationSeparator" w:id="0">
    <w:p w14:paraId="046CE9E7" w14:textId="77777777" w:rsidR="008F2C8F" w:rsidRDefault="008F2C8F" w:rsidP="0000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C8"/>
    <w:rsid w:val="0000771C"/>
    <w:rsid w:val="00014EB7"/>
    <w:rsid w:val="000B7348"/>
    <w:rsid w:val="00106F82"/>
    <w:rsid w:val="001217C2"/>
    <w:rsid w:val="0013066A"/>
    <w:rsid w:val="001455D0"/>
    <w:rsid w:val="001C090A"/>
    <w:rsid w:val="001E6E32"/>
    <w:rsid w:val="00204C95"/>
    <w:rsid w:val="00251DFC"/>
    <w:rsid w:val="0026348D"/>
    <w:rsid w:val="002D625D"/>
    <w:rsid w:val="00300238"/>
    <w:rsid w:val="003409D2"/>
    <w:rsid w:val="0035308F"/>
    <w:rsid w:val="00416BDA"/>
    <w:rsid w:val="004250EE"/>
    <w:rsid w:val="004D08E3"/>
    <w:rsid w:val="00593B3A"/>
    <w:rsid w:val="005A6A55"/>
    <w:rsid w:val="005D5FE7"/>
    <w:rsid w:val="00612AA9"/>
    <w:rsid w:val="006A0F09"/>
    <w:rsid w:val="006B370D"/>
    <w:rsid w:val="008F2C8F"/>
    <w:rsid w:val="009677D1"/>
    <w:rsid w:val="00A35315"/>
    <w:rsid w:val="00AC66E4"/>
    <w:rsid w:val="00AD34F8"/>
    <w:rsid w:val="00BD1C2C"/>
    <w:rsid w:val="00BD5335"/>
    <w:rsid w:val="00C046C8"/>
    <w:rsid w:val="00C50D4B"/>
    <w:rsid w:val="00CD36A2"/>
    <w:rsid w:val="00CE02D6"/>
    <w:rsid w:val="00D1256A"/>
    <w:rsid w:val="00D26397"/>
    <w:rsid w:val="00E27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AE9D"/>
  <w15:docId w15:val="{DED513F8-E9B2-44CE-94AD-36DED83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46C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46C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046C8"/>
    <w:rPr>
      <w:rFonts w:ascii="Tahoma" w:hAnsi="Tahoma" w:cs="Tahoma"/>
      <w:sz w:val="16"/>
      <w:szCs w:val="16"/>
    </w:rPr>
  </w:style>
  <w:style w:type="paragraph" w:customStyle="1" w:styleId="Style2">
    <w:name w:val="Style2"/>
    <w:basedOn w:val="Standard"/>
    <w:uiPriority w:val="99"/>
    <w:rsid w:val="00251DFC"/>
    <w:pPr>
      <w:widowControl w:val="0"/>
      <w:autoSpaceDE w:val="0"/>
      <w:autoSpaceDN w:val="0"/>
      <w:adjustRightInd w:val="0"/>
      <w:spacing w:line="330" w:lineRule="exact"/>
    </w:pPr>
    <w:rPr>
      <w:rFonts w:ascii="Arial" w:hAnsi="Arial" w:cs="Arial"/>
    </w:rPr>
  </w:style>
  <w:style w:type="character" w:customStyle="1" w:styleId="FontStyle12">
    <w:name w:val="Font Style12"/>
    <w:uiPriority w:val="99"/>
    <w:rsid w:val="00251DFC"/>
    <w:rPr>
      <w:rFonts w:ascii="Arial" w:hAnsi="Arial" w:cs="Arial" w:hint="default"/>
      <w:color w:val="000000"/>
      <w:sz w:val="18"/>
      <w:szCs w:val="18"/>
    </w:rPr>
  </w:style>
  <w:style w:type="character" w:customStyle="1" w:styleId="FontStyle11">
    <w:name w:val="Font Style11"/>
    <w:uiPriority w:val="99"/>
    <w:rsid w:val="00251DFC"/>
    <w:rPr>
      <w:rFonts w:ascii="Arial" w:hAnsi="Arial" w:cs="Arial"/>
      <w:i/>
      <w:iCs/>
      <w:color w:val="000000"/>
      <w:sz w:val="18"/>
      <w:szCs w:val="18"/>
    </w:rPr>
  </w:style>
  <w:style w:type="paragraph" w:styleId="Kopfzeile">
    <w:name w:val="header"/>
    <w:basedOn w:val="Standard"/>
    <w:link w:val="KopfzeileZchn"/>
    <w:uiPriority w:val="99"/>
    <w:unhideWhenUsed/>
    <w:rsid w:val="0000771C"/>
    <w:pPr>
      <w:tabs>
        <w:tab w:val="center" w:pos="4536"/>
        <w:tab w:val="right" w:pos="9072"/>
      </w:tabs>
    </w:pPr>
  </w:style>
  <w:style w:type="character" w:customStyle="1" w:styleId="KopfzeileZchn">
    <w:name w:val="Kopfzeile Zchn"/>
    <w:basedOn w:val="Absatz-Standardschriftart"/>
    <w:link w:val="Kopfzeile"/>
    <w:uiPriority w:val="99"/>
    <w:rsid w:val="0000771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0771C"/>
    <w:pPr>
      <w:tabs>
        <w:tab w:val="center" w:pos="4536"/>
        <w:tab w:val="right" w:pos="9072"/>
      </w:tabs>
    </w:pPr>
  </w:style>
  <w:style w:type="character" w:customStyle="1" w:styleId="FuzeileZchn">
    <w:name w:val="Fußzeile Zchn"/>
    <w:basedOn w:val="Absatz-Standardschriftart"/>
    <w:link w:val="Fuzeile"/>
    <w:uiPriority w:val="99"/>
    <w:rsid w:val="0000771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D625D"/>
    <w:pPr>
      <w:spacing w:after="0" w:line="240" w:lineRule="auto"/>
    </w:pPr>
    <w:rPr>
      <w:rFonts w:ascii="Times New Roman" w:eastAsia="Times New Roman" w:hAnsi="Times New Roman" w:cs="Times New Roman"/>
      <w:sz w:val="24"/>
      <w:szCs w:val="24"/>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13749</Words>
  <Characters>86622</Characters>
  <Application>Microsoft Office Word</Application>
  <DocSecurity>0</DocSecurity>
  <Lines>721</Lines>
  <Paragraphs>200</Paragraphs>
  <ScaleCrop>false</ScaleCrop>
  <HeadingPairs>
    <vt:vector size="2" baseType="variant">
      <vt:variant>
        <vt:lpstr>Titel</vt:lpstr>
      </vt:variant>
      <vt:variant>
        <vt:i4>1</vt:i4>
      </vt:variant>
    </vt:vector>
  </HeadingPairs>
  <TitlesOfParts>
    <vt:vector size="1" baseType="lpstr">
      <vt:lpstr/>
    </vt:vector>
  </TitlesOfParts>
  <Company>ITSG</Company>
  <LinksUpToDate>false</LinksUpToDate>
  <CharactersWithSpaces>100171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Wodarg, Fritz</dc:creator>
  <cp:lastModifiedBy>Fritz Wodarg</cp:lastModifiedBy>
  <cp:revision>3</cp:revision>
  <cp:lastPrinted>2017-04-09T13:17:00Z</cp:lastPrinted>
  <dcterms:created xsi:type="dcterms:W3CDTF">2018-02-16T20:28:00Z</dcterms:created>
  <dcterms:modified xsi:type="dcterms:W3CDTF">2018-02-21T18:08:00Z</dcterms:modified>
</cp:coreProperties>
</file>