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CCDB5" w14:textId="6B4CBF30" w:rsidR="006C33DE" w:rsidRPr="00475189" w:rsidRDefault="00475189" w:rsidP="00A319F7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475189">
        <w:rPr>
          <w:rFonts w:ascii="Arial" w:hAnsi="Arial" w:cs="Arial"/>
          <w:sz w:val="24"/>
          <w:szCs w:val="24"/>
        </w:rPr>
        <w:t xml:space="preserve">ONLINE </w:t>
      </w:r>
      <w:r w:rsidR="006C33DE" w:rsidRPr="00475189">
        <w:rPr>
          <w:rFonts w:ascii="Arial" w:hAnsi="Arial" w:cs="Arial"/>
          <w:sz w:val="24"/>
          <w:szCs w:val="24"/>
        </w:rPr>
        <w:t>SUPPLEMENT</w:t>
      </w:r>
      <w:r w:rsidR="00D171C8" w:rsidRPr="00475189">
        <w:rPr>
          <w:rFonts w:ascii="Arial" w:hAnsi="Arial" w:cs="Arial"/>
          <w:sz w:val="24"/>
          <w:szCs w:val="24"/>
        </w:rPr>
        <w:t>UM</w:t>
      </w:r>
      <w:r w:rsidR="006C33DE" w:rsidRPr="00475189">
        <w:rPr>
          <w:rFonts w:ascii="Arial" w:hAnsi="Arial" w:cs="Arial"/>
          <w:sz w:val="24"/>
          <w:szCs w:val="24"/>
        </w:rPr>
        <w:t xml:space="preserve"> </w:t>
      </w:r>
    </w:p>
    <w:p w14:paraId="7A4F7D1C" w14:textId="77777777" w:rsidR="00475189" w:rsidRPr="00475189" w:rsidRDefault="00475189" w:rsidP="00475189">
      <w:pPr>
        <w:spacing w:after="120" w:line="480" w:lineRule="auto"/>
        <w:rPr>
          <w:rFonts w:ascii="Arial" w:hAnsi="Arial" w:cs="Arial"/>
          <w:sz w:val="24"/>
          <w:szCs w:val="24"/>
          <w:lang w:val="en-GB"/>
        </w:rPr>
      </w:pPr>
      <w:bookmarkStart w:id="0" w:name="_Hlk522652854"/>
      <w:r w:rsidRPr="00475189">
        <w:rPr>
          <w:rFonts w:ascii="Arial" w:hAnsi="Arial" w:cs="Arial"/>
          <w:sz w:val="24"/>
          <w:szCs w:val="24"/>
          <w:lang w:val="en-GB"/>
        </w:rPr>
        <w:t xml:space="preserve">Testing Bioresorbable Stent Feasibility in a Rat Aneurysm Model </w:t>
      </w:r>
    </w:p>
    <w:bookmarkEnd w:id="0"/>
    <w:p w14:paraId="770E53EA" w14:textId="77777777" w:rsidR="00475189" w:rsidRPr="00475189" w:rsidRDefault="00475189" w:rsidP="007A7F0E">
      <w:pPr>
        <w:spacing w:after="120" w:line="480" w:lineRule="auto"/>
        <w:rPr>
          <w:rFonts w:ascii="Arial" w:eastAsia="Arial" w:hAnsi="Arial" w:cs="Arial"/>
          <w:b/>
          <w:sz w:val="24"/>
          <w:szCs w:val="24"/>
          <w:lang w:val="en-GB"/>
        </w:rPr>
      </w:pPr>
    </w:p>
    <w:p w14:paraId="541A5AFF" w14:textId="567F91EF" w:rsidR="006C33DE" w:rsidRPr="00475189" w:rsidRDefault="006C33DE" w:rsidP="007A7F0E">
      <w:pPr>
        <w:spacing w:after="120" w:line="480" w:lineRule="auto"/>
        <w:rPr>
          <w:rFonts w:ascii="Arial" w:eastAsia="Arial" w:hAnsi="Arial" w:cs="Arial"/>
          <w:b/>
          <w:sz w:val="24"/>
          <w:szCs w:val="24"/>
          <w:lang w:val="en-GB"/>
        </w:rPr>
      </w:pPr>
      <w:r w:rsidRPr="00475189">
        <w:rPr>
          <w:rFonts w:ascii="Arial" w:eastAsia="Arial" w:hAnsi="Arial" w:cs="Arial"/>
          <w:b/>
          <w:sz w:val="24"/>
          <w:szCs w:val="24"/>
          <w:lang w:val="en-GB"/>
        </w:rPr>
        <w:t>Supplementa</w:t>
      </w:r>
      <w:r w:rsidR="00D171C8" w:rsidRPr="00475189">
        <w:rPr>
          <w:rFonts w:ascii="Arial" w:eastAsia="Arial" w:hAnsi="Arial" w:cs="Arial"/>
          <w:b/>
          <w:sz w:val="24"/>
          <w:szCs w:val="24"/>
          <w:lang w:val="en-GB"/>
        </w:rPr>
        <w:t>ry</w:t>
      </w:r>
      <w:r w:rsidRPr="00475189">
        <w:rPr>
          <w:rFonts w:ascii="Arial" w:eastAsia="Arial" w:hAnsi="Arial" w:cs="Arial"/>
          <w:b/>
          <w:sz w:val="24"/>
          <w:szCs w:val="24"/>
          <w:lang w:val="en-GB"/>
        </w:rPr>
        <w:t xml:space="preserve"> Methods </w:t>
      </w:r>
    </w:p>
    <w:p w14:paraId="33797C24" w14:textId="0639CBAB" w:rsidR="006C33DE" w:rsidRPr="00475189" w:rsidRDefault="006C33DE" w:rsidP="007A7F0E">
      <w:pPr>
        <w:spacing w:after="120" w:line="480" w:lineRule="auto"/>
        <w:rPr>
          <w:rFonts w:ascii="Arial" w:hAnsi="Arial" w:cs="Arial"/>
          <w:i/>
          <w:sz w:val="24"/>
          <w:szCs w:val="24"/>
          <w:lang w:val="en-GB"/>
        </w:rPr>
      </w:pPr>
      <w:r w:rsidRPr="00475189">
        <w:rPr>
          <w:rFonts w:ascii="Arial" w:hAnsi="Arial" w:cs="Arial"/>
          <w:i/>
          <w:sz w:val="24"/>
          <w:szCs w:val="24"/>
          <w:lang w:val="en-GB"/>
        </w:rPr>
        <w:t>Histology</w:t>
      </w:r>
    </w:p>
    <w:p w14:paraId="569C418D" w14:textId="311672FC" w:rsidR="006C33DE" w:rsidRPr="00475189" w:rsidRDefault="006C33DE" w:rsidP="007A7F0E">
      <w:pPr>
        <w:spacing w:after="120" w:line="480" w:lineRule="auto"/>
        <w:ind w:firstLine="708"/>
        <w:rPr>
          <w:rFonts w:ascii="Arial" w:hAnsi="Arial" w:cs="Arial"/>
          <w:sz w:val="24"/>
          <w:szCs w:val="24"/>
          <w:lang w:val="en-GB"/>
        </w:rPr>
      </w:pPr>
      <w:r w:rsidRPr="00475189">
        <w:rPr>
          <w:rFonts w:ascii="Arial" w:hAnsi="Arial" w:cs="Arial"/>
          <w:sz w:val="24"/>
          <w:szCs w:val="24"/>
          <w:lang w:val="en-GB"/>
        </w:rPr>
        <w:t>Paraffin-embedded aneurysms were cut in the axis along the underlying parent artery in slices of 2 μm and stained. Stained slices were digitalized (</w:t>
      </w:r>
      <w:proofErr w:type="spellStart"/>
      <w:r w:rsidRPr="00475189">
        <w:rPr>
          <w:rFonts w:ascii="Arial" w:hAnsi="Arial" w:cs="Arial"/>
          <w:sz w:val="24"/>
          <w:szCs w:val="24"/>
          <w:lang w:val="en-GB"/>
        </w:rPr>
        <w:t>omnyx</w:t>
      </w:r>
      <w:proofErr w:type="spellEnd"/>
      <w:r w:rsidRPr="00475189">
        <w:rPr>
          <w:rFonts w:ascii="Arial" w:hAnsi="Arial" w:cs="Arial"/>
          <w:sz w:val="24"/>
          <w:szCs w:val="24"/>
          <w:lang w:val="en-GB"/>
        </w:rPr>
        <w:t xml:space="preserve"> VL120, GE, USA) and evaluated with the JVS viewer (JVS view 1.2 full version, http:// jvsmicroscope.uta.fi/software/, University of Tampere, Finland). Histologic scoring was performed blinded to treatment allocation and a previously used 4-scale grading system</w:t>
      </w:r>
      <w:hyperlink w:anchor="_ENREF_1" w:tooltip="Marbacher, 2014 #1665" w:history="1">
        <w:r w:rsidR="00901E01" w:rsidRPr="00475189">
          <w:rPr>
            <w:rFonts w:ascii="Arial" w:hAnsi="Arial" w:cs="Arial"/>
            <w:sz w:val="24"/>
            <w:szCs w:val="24"/>
            <w:lang w:val="en-GB"/>
          </w:rPr>
          <w:fldChar w:fldCharType="begin">
            <w:fldData xml:space="preserve">PEVuZE5vdGU+PENpdGU+PEF1dGhvcj5NYXJiYWNoZXI8L0F1dGhvcj48WWVhcj4yMDE0PC9ZZWFy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</w:fldData>
          </w:fldChar>
        </w:r>
        <w:r w:rsidR="00901E01">
          <w:rPr>
            <w:rFonts w:ascii="Arial" w:hAnsi="Arial" w:cs="Arial"/>
            <w:sz w:val="24"/>
            <w:szCs w:val="24"/>
            <w:lang w:val="en-GB"/>
          </w:rPr>
          <w:instrText xml:space="preserve"> ADDIN EN.CITE </w:instrText>
        </w:r>
        <w:r w:rsidR="00901E01">
          <w:rPr>
            <w:rFonts w:ascii="Arial" w:hAnsi="Arial" w:cs="Arial"/>
            <w:sz w:val="24"/>
            <w:szCs w:val="24"/>
            <w:lang w:val="en-GB"/>
          </w:rPr>
          <w:fldChar w:fldCharType="begin">
            <w:fldData xml:space="preserve">PEVuZE5vdGU+PENpdGU+PEF1dGhvcj5NYXJiYWNoZXI8L0F1dGhvcj48WWVhcj4yMDE0PC9ZZWFy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</w:fldData>
          </w:fldChar>
        </w:r>
        <w:r w:rsidR="00901E01">
          <w:rPr>
            <w:rFonts w:ascii="Arial" w:hAnsi="Arial" w:cs="Arial"/>
            <w:sz w:val="24"/>
            <w:szCs w:val="24"/>
            <w:lang w:val="en-GB"/>
          </w:rPr>
          <w:instrText xml:space="preserve"> ADDIN EN.CITE.DATA </w:instrText>
        </w:r>
        <w:r w:rsidR="00901E01">
          <w:rPr>
            <w:rFonts w:ascii="Arial" w:hAnsi="Arial" w:cs="Arial"/>
            <w:sz w:val="24"/>
            <w:szCs w:val="24"/>
            <w:lang w:val="en-GB"/>
          </w:rPr>
        </w:r>
        <w:r w:rsidR="00901E01">
          <w:rPr>
            <w:rFonts w:ascii="Arial" w:hAnsi="Arial" w:cs="Arial"/>
            <w:sz w:val="24"/>
            <w:szCs w:val="24"/>
            <w:lang w:val="en-GB"/>
          </w:rPr>
          <w:fldChar w:fldCharType="end"/>
        </w:r>
        <w:r w:rsidR="00901E01" w:rsidRPr="00475189">
          <w:rPr>
            <w:rFonts w:ascii="Arial" w:hAnsi="Arial" w:cs="Arial"/>
            <w:sz w:val="24"/>
            <w:szCs w:val="24"/>
            <w:lang w:val="en-GB"/>
          </w:rPr>
        </w:r>
        <w:r w:rsidR="00901E01" w:rsidRPr="00475189">
          <w:rPr>
            <w:rFonts w:ascii="Arial" w:hAnsi="Arial" w:cs="Arial"/>
            <w:sz w:val="24"/>
            <w:szCs w:val="24"/>
            <w:lang w:val="en-GB"/>
          </w:rPr>
          <w:fldChar w:fldCharType="separate"/>
        </w:r>
        <w:r w:rsidR="00901E01" w:rsidRPr="00954B85">
          <w:rPr>
            <w:rFonts w:ascii="Arial" w:hAnsi="Arial" w:cs="Arial"/>
            <w:noProof/>
            <w:sz w:val="24"/>
            <w:szCs w:val="24"/>
            <w:vertAlign w:val="superscript"/>
            <w:lang w:val="en-GB"/>
          </w:rPr>
          <w:t>1</w:t>
        </w:r>
        <w:r w:rsidR="00901E01" w:rsidRPr="00475189">
          <w:rPr>
            <w:rFonts w:ascii="Arial" w:hAnsi="Arial" w:cs="Arial"/>
            <w:sz w:val="24"/>
            <w:szCs w:val="24"/>
            <w:lang w:val="en-GB"/>
          </w:rPr>
          <w:fldChar w:fldCharType="end"/>
        </w:r>
      </w:hyperlink>
      <w:r w:rsidRPr="00475189">
        <w:rPr>
          <w:rFonts w:ascii="Arial" w:hAnsi="Arial" w:cs="Arial"/>
          <w:sz w:val="24"/>
          <w:szCs w:val="24"/>
          <w:lang w:val="en-GB"/>
        </w:rPr>
        <w:t xml:space="preserve"> was applied to characterize histology. </w:t>
      </w:r>
    </w:p>
    <w:p w14:paraId="438B9B35" w14:textId="77777777" w:rsidR="006C33DE" w:rsidRPr="00475189" w:rsidRDefault="006C33DE" w:rsidP="007A7F0E">
      <w:pPr>
        <w:spacing w:after="120" w:line="480" w:lineRule="auto"/>
        <w:rPr>
          <w:rFonts w:ascii="Arial" w:hAnsi="Arial" w:cs="Arial"/>
          <w:sz w:val="24"/>
          <w:szCs w:val="24"/>
          <w:lang w:val="en-GB"/>
        </w:rPr>
      </w:pPr>
      <w:r w:rsidRPr="00475189">
        <w:rPr>
          <w:rFonts w:ascii="Arial" w:hAnsi="Arial" w:cs="Arial"/>
          <w:i/>
          <w:sz w:val="24"/>
          <w:szCs w:val="24"/>
          <w:lang w:val="en-GB"/>
        </w:rPr>
        <w:t>Tissue preparation for molecular analysis:</w:t>
      </w:r>
    </w:p>
    <w:p w14:paraId="5DCE2A0D" w14:textId="77777777" w:rsidR="006C33DE" w:rsidRPr="00475189" w:rsidRDefault="006C33DE" w:rsidP="007A7F0E">
      <w:pPr>
        <w:spacing w:after="120" w:line="480" w:lineRule="auto"/>
        <w:rPr>
          <w:rFonts w:ascii="Arial" w:hAnsi="Arial" w:cs="Arial"/>
          <w:sz w:val="24"/>
          <w:szCs w:val="24"/>
          <w:lang w:val="en-GB"/>
        </w:rPr>
      </w:pPr>
      <w:r w:rsidRPr="00475189">
        <w:rPr>
          <w:rFonts w:ascii="Arial" w:hAnsi="Arial" w:cs="Arial"/>
          <w:i/>
          <w:sz w:val="24"/>
          <w:szCs w:val="24"/>
          <w:lang w:val="en-GB"/>
        </w:rPr>
        <w:tab/>
      </w:r>
      <w:r w:rsidRPr="00475189">
        <w:rPr>
          <w:rFonts w:ascii="Arial" w:hAnsi="Arial" w:cs="Arial"/>
          <w:sz w:val="24"/>
          <w:szCs w:val="24"/>
          <w:lang w:val="en-GB"/>
        </w:rPr>
        <w:t xml:space="preserve">Shock frozen tissue samples were homogenized by roughly grinding the frozen tissue in a glass homogenizer. 100 </w:t>
      </w:r>
      <w:proofErr w:type="spellStart"/>
      <w:r w:rsidRPr="00475189">
        <w:rPr>
          <w:rFonts w:ascii="Arial" w:hAnsi="Arial" w:cs="Arial"/>
          <w:sz w:val="24"/>
          <w:szCs w:val="24"/>
          <w:lang w:val="en-GB"/>
        </w:rPr>
        <w:t>μl</w:t>
      </w:r>
      <w:proofErr w:type="spellEnd"/>
      <w:r w:rsidRPr="00475189">
        <w:rPr>
          <w:rFonts w:ascii="Arial" w:hAnsi="Arial" w:cs="Arial"/>
          <w:sz w:val="24"/>
          <w:szCs w:val="24"/>
          <w:lang w:val="en-GB"/>
        </w:rPr>
        <w:t xml:space="preserve"> of PBS containing 1% Triton X-100 and a cocktail of protease inhibitors (Complete™, EDTA-free protease inhibitor cocktail, Roche Diagnostics GmbH, Mannheim, Germany) were added and tissue further homogenized on ice. The crude homogenate was centrifuged for 10 min at 4°C, 13’000 rpm in a </w:t>
      </w:r>
      <w:proofErr w:type="spellStart"/>
      <w:r w:rsidRPr="00475189">
        <w:rPr>
          <w:rFonts w:ascii="Arial" w:hAnsi="Arial" w:cs="Arial"/>
          <w:sz w:val="24"/>
          <w:szCs w:val="24"/>
          <w:lang w:val="en-GB"/>
        </w:rPr>
        <w:t>Biofuge</w:t>
      </w:r>
      <w:proofErr w:type="spellEnd"/>
      <w:r w:rsidRPr="00475189">
        <w:rPr>
          <w:rFonts w:ascii="Arial" w:hAnsi="Arial" w:cs="Arial"/>
          <w:sz w:val="24"/>
          <w:szCs w:val="24"/>
          <w:lang w:val="en-GB"/>
        </w:rPr>
        <w:t xml:space="preserve"> Fresco centrifuge (Heraeus, Hanau, Germany). The supernatant was harvested and stored at -80°C until further analyses. Protein concentration was determined using the BCA method, according to manufacturer instructions (Pierce™ BCA protein assay kit, </w:t>
      </w:r>
      <w:proofErr w:type="spellStart"/>
      <w:r w:rsidRPr="00475189">
        <w:rPr>
          <w:rFonts w:ascii="Arial" w:hAnsi="Arial" w:cs="Arial"/>
          <w:sz w:val="24"/>
          <w:szCs w:val="24"/>
          <w:lang w:val="en-GB"/>
        </w:rPr>
        <w:t>Thermoscientific</w:t>
      </w:r>
      <w:proofErr w:type="spellEnd"/>
      <w:r w:rsidRPr="00475189">
        <w:rPr>
          <w:rFonts w:ascii="Arial" w:hAnsi="Arial" w:cs="Arial"/>
          <w:sz w:val="24"/>
          <w:szCs w:val="24"/>
          <w:lang w:val="en-GB"/>
        </w:rPr>
        <w:t>, Rockford, IL, USA).</w:t>
      </w:r>
    </w:p>
    <w:p w14:paraId="493020D8" w14:textId="77777777" w:rsidR="006C33DE" w:rsidRPr="00475189" w:rsidRDefault="006C33DE" w:rsidP="007A7F0E">
      <w:pPr>
        <w:spacing w:after="120" w:line="480" w:lineRule="auto"/>
        <w:rPr>
          <w:rFonts w:ascii="Arial" w:hAnsi="Arial" w:cs="Arial"/>
          <w:i/>
          <w:sz w:val="24"/>
          <w:szCs w:val="24"/>
          <w:lang w:val="en-GB"/>
        </w:rPr>
      </w:pPr>
      <w:r w:rsidRPr="00475189">
        <w:rPr>
          <w:rFonts w:ascii="Arial" w:hAnsi="Arial" w:cs="Arial"/>
          <w:i/>
          <w:sz w:val="24"/>
          <w:szCs w:val="24"/>
          <w:lang w:val="en-GB"/>
        </w:rPr>
        <w:t>Gelatine zymography:</w:t>
      </w:r>
    </w:p>
    <w:p w14:paraId="5668DC6E" w14:textId="77777777" w:rsidR="006C33DE" w:rsidRPr="00475189" w:rsidRDefault="006C33DE" w:rsidP="007A7F0E">
      <w:pPr>
        <w:spacing w:after="120" w:line="480" w:lineRule="auto"/>
        <w:ind w:firstLine="708"/>
        <w:rPr>
          <w:rFonts w:ascii="Arial" w:hAnsi="Arial" w:cs="Arial"/>
          <w:sz w:val="24"/>
          <w:szCs w:val="24"/>
          <w:lang w:val="en-GB"/>
        </w:rPr>
      </w:pPr>
      <w:r w:rsidRPr="00475189">
        <w:rPr>
          <w:rFonts w:ascii="Arial" w:hAnsi="Arial" w:cs="Arial"/>
          <w:sz w:val="24"/>
          <w:szCs w:val="24"/>
          <w:lang w:val="en-GB"/>
        </w:rPr>
        <w:lastRenderedPageBreak/>
        <w:t xml:space="preserve">Gelatine SDS-PAGE zymography was performed to detect the enzymatic activity of MMP-2 and MMP-9. Five micrograms of protein homogenates were submitted to electrophoresis under non-reducing conditions in polyacrylamide gels containing type A gelatine from porcine skin (1% v/v). SDS was removed from the gels and catalytic sites activated by overnight incubation at 37°C in zymography buffer (10 mM CaCl2, 50 mM Tris, 50 mM NaCl, pH 7.65). Gels were stained with 0.1% Coomassie blue R250, 30% Methanol and 10% acetic acid. Gelatinolytic activity was determined by densitometric quantitation of the substrate lysis zones around 92 (pro-MMP-9) and 72 (pro-MMP-2) </w:t>
      </w:r>
      <w:proofErr w:type="spellStart"/>
      <w:r w:rsidRPr="00475189">
        <w:rPr>
          <w:rFonts w:ascii="Arial" w:hAnsi="Arial" w:cs="Arial"/>
          <w:sz w:val="24"/>
          <w:szCs w:val="24"/>
          <w:lang w:val="en-GB"/>
        </w:rPr>
        <w:t>kDa</w:t>
      </w:r>
      <w:proofErr w:type="spellEnd"/>
      <w:r w:rsidRPr="00475189">
        <w:rPr>
          <w:rFonts w:ascii="Arial" w:hAnsi="Arial" w:cs="Arial"/>
          <w:sz w:val="24"/>
          <w:szCs w:val="24"/>
          <w:lang w:val="en-GB"/>
        </w:rPr>
        <w:t xml:space="preserve"> using an image analysis software (ImageJ, U. S. National Institutes of Health, Bethesda, Maryland, USA, http://rsb.info.nih.gov/ij/.) Protein standards purified from human neutrophil MMP-9 and recombinant MMP-2 </w:t>
      </w:r>
      <w:r w:rsidRPr="00475189">
        <w:rPr>
          <w:rFonts w:ascii="Arial" w:eastAsia="Arial" w:hAnsi="Arial" w:cs="Arial"/>
          <w:sz w:val="24"/>
          <w:szCs w:val="24"/>
          <w:lang w:val="en-GB"/>
        </w:rPr>
        <w:t>were</w:t>
      </w:r>
      <w:r w:rsidRPr="00475189">
        <w:rPr>
          <w:rFonts w:ascii="Arial" w:hAnsi="Arial" w:cs="Arial"/>
          <w:sz w:val="24"/>
          <w:szCs w:val="24"/>
          <w:lang w:val="en-GB"/>
        </w:rPr>
        <w:t xml:space="preserve"> used for normalization of the gels and quantification of MMP-9 and -2 as a function of the lysis zone. </w:t>
      </w:r>
    </w:p>
    <w:p w14:paraId="0FDD3943" w14:textId="77777777" w:rsidR="006C33DE" w:rsidRPr="00475189" w:rsidRDefault="006C33DE" w:rsidP="007A7F0E">
      <w:pPr>
        <w:spacing w:after="120" w:line="480" w:lineRule="auto"/>
        <w:rPr>
          <w:rFonts w:ascii="Arial" w:hAnsi="Arial" w:cs="Arial"/>
          <w:i/>
          <w:sz w:val="24"/>
          <w:szCs w:val="24"/>
          <w:lang w:val="en-GB"/>
        </w:rPr>
      </w:pPr>
      <w:r w:rsidRPr="00475189">
        <w:rPr>
          <w:rFonts w:ascii="Arial" w:hAnsi="Arial" w:cs="Arial"/>
          <w:i/>
          <w:sz w:val="24"/>
          <w:szCs w:val="24"/>
          <w:lang w:val="en-GB"/>
        </w:rPr>
        <w:t>Luminex analysis:</w:t>
      </w:r>
    </w:p>
    <w:p w14:paraId="34EA75E3" w14:textId="77777777" w:rsidR="006C33DE" w:rsidRPr="00475189" w:rsidRDefault="006C33DE" w:rsidP="007A7F0E">
      <w:pPr>
        <w:spacing w:after="120" w:line="480" w:lineRule="auto"/>
        <w:ind w:firstLine="708"/>
        <w:rPr>
          <w:rFonts w:ascii="Arial" w:hAnsi="Arial" w:cs="Arial"/>
          <w:sz w:val="24"/>
          <w:szCs w:val="24"/>
          <w:lang w:val="en-GB"/>
        </w:rPr>
      </w:pPr>
      <w:r w:rsidRPr="00475189">
        <w:rPr>
          <w:rFonts w:ascii="Arial" w:hAnsi="Arial" w:cs="Arial"/>
          <w:sz w:val="24"/>
          <w:szCs w:val="24"/>
          <w:lang w:val="en-GB"/>
        </w:rPr>
        <w:t>The assessment of cytokines/chemokines or other analytes was performed using a rat magnetic Luminex assay 7-plex kit (RnD Systems, Minneapolis, MN, USA), according to the manufacturer instructions. Concentration of the different analytes were determined in 100 µg of crude protein homogenates using Bio-Plex Manager Software 4.1.1 (Bio-Rad Laboratories) with a 5-parameter logistic curve-fitting method.</w:t>
      </w:r>
    </w:p>
    <w:p w14:paraId="21B9684C" w14:textId="77777777" w:rsidR="006C33DE" w:rsidRPr="00475189" w:rsidRDefault="006C33DE" w:rsidP="007A7F0E">
      <w:pPr>
        <w:spacing w:after="120" w:line="480" w:lineRule="auto"/>
        <w:rPr>
          <w:rFonts w:ascii="Arial" w:hAnsi="Arial" w:cs="Arial"/>
          <w:i/>
          <w:sz w:val="24"/>
          <w:szCs w:val="24"/>
          <w:lang w:val="en-GB"/>
        </w:rPr>
      </w:pPr>
      <w:r w:rsidRPr="00475189">
        <w:rPr>
          <w:rFonts w:ascii="Arial" w:hAnsi="Arial" w:cs="Arial"/>
          <w:i/>
          <w:sz w:val="24"/>
          <w:szCs w:val="24"/>
          <w:lang w:val="en-GB"/>
        </w:rPr>
        <w:t>Micro-Computer Tomogram (μ-CT):</w:t>
      </w:r>
    </w:p>
    <w:p w14:paraId="60E2F57D" w14:textId="77777777" w:rsidR="006C33DE" w:rsidRPr="00475189" w:rsidRDefault="006C33DE" w:rsidP="007A7F0E">
      <w:pPr>
        <w:spacing w:after="120" w:line="480" w:lineRule="auto"/>
        <w:ind w:firstLine="708"/>
        <w:rPr>
          <w:rFonts w:ascii="Arial" w:hAnsi="Arial" w:cs="Arial"/>
          <w:sz w:val="24"/>
          <w:szCs w:val="24"/>
          <w:lang w:val="en-GB"/>
        </w:rPr>
      </w:pPr>
      <w:r w:rsidRPr="00475189">
        <w:rPr>
          <w:rFonts w:ascii="Arial" w:hAnsi="Arial" w:cs="Arial"/>
          <w:sz w:val="24"/>
          <w:szCs w:val="24"/>
          <w:lang w:val="en-GB"/>
        </w:rPr>
        <w:t>Micro-CT scans were performed with a desktop cone-beam scanner μCT 40 (</w:t>
      </w:r>
      <w:proofErr w:type="spellStart"/>
      <w:r w:rsidRPr="00475189">
        <w:rPr>
          <w:rFonts w:ascii="Arial" w:hAnsi="Arial" w:cs="Arial"/>
          <w:sz w:val="24"/>
          <w:szCs w:val="24"/>
          <w:lang w:val="en-GB"/>
        </w:rPr>
        <w:t>Scanco</w:t>
      </w:r>
      <w:proofErr w:type="spellEnd"/>
      <w:r w:rsidRPr="00475189">
        <w:rPr>
          <w:rFonts w:ascii="Arial" w:hAnsi="Arial" w:cs="Arial"/>
          <w:sz w:val="24"/>
          <w:szCs w:val="24"/>
          <w:lang w:val="en-GB"/>
        </w:rPr>
        <w:t xml:space="preserve"> Medical AG, </w:t>
      </w:r>
      <w:proofErr w:type="spellStart"/>
      <w:r w:rsidRPr="00475189">
        <w:rPr>
          <w:rFonts w:ascii="Arial" w:hAnsi="Arial" w:cs="Arial"/>
          <w:sz w:val="24"/>
          <w:szCs w:val="24"/>
          <w:lang w:val="en-GB"/>
        </w:rPr>
        <w:t>Brüttisellen</w:t>
      </w:r>
      <w:proofErr w:type="spellEnd"/>
      <w:r w:rsidRPr="00475189">
        <w:rPr>
          <w:rFonts w:ascii="Arial" w:hAnsi="Arial" w:cs="Arial"/>
          <w:sz w:val="24"/>
          <w:szCs w:val="24"/>
          <w:lang w:val="en-GB"/>
        </w:rPr>
        <w:t xml:space="preserve">, Switzerland) with the following parameters: The X-ray source (E) was set at 70 </w:t>
      </w:r>
      <w:proofErr w:type="spellStart"/>
      <w:r w:rsidRPr="00475189">
        <w:rPr>
          <w:rFonts w:ascii="Arial" w:hAnsi="Arial" w:cs="Arial"/>
          <w:sz w:val="24"/>
          <w:szCs w:val="24"/>
          <w:lang w:val="en-GB"/>
        </w:rPr>
        <w:t>kVp</w:t>
      </w:r>
      <w:proofErr w:type="spellEnd"/>
      <w:r w:rsidRPr="00475189">
        <w:rPr>
          <w:rFonts w:ascii="Arial" w:hAnsi="Arial" w:cs="Arial"/>
          <w:sz w:val="24"/>
          <w:szCs w:val="24"/>
          <w:lang w:val="en-GB"/>
        </w:rPr>
        <w:t xml:space="preserve">, with 114 </w:t>
      </w:r>
      <w:proofErr w:type="spellStart"/>
      <w:r w:rsidRPr="00475189">
        <w:rPr>
          <w:rFonts w:ascii="Arial" w:hAnsi="Arial" w:cs="Arial"/>
          <w:sz w:val="24"/>
          <w:szCs w:val="24"/>
          <w:lang w:val="en-GB"/>
        </w:rPr>
        <w:t>μA</w:t>
      </w:r>
      <w:proofErr w:type="spellEnd"/>
      <w:r w:rsidRPr="00475189">
        <w:rPr>
          <w:rFonts w:ascii="Arial" w:hAnsi="Arial" w:cs="Arial"/>
          <w:sz w:val="24"/>
          <w:szCs w:val="24"/>
          <w:lang w:val="en-GB"/>
        </w:rPr>
        <w:t xml:space="preserve"> at high resolution (1000 projections/180°), which showed an image matrix of 2048 x 2048 pixels; the diameter of the sample holder </w:t>
      </w:r>
      <w:r w:rsidRPr="00475189">
        <w:rPr>
          <w:rFonts w:ascii="Arial" w:hAnsi="Arial" w:cs="Arial"/>
          <w:sz w:val="24"/>
          <w:szCs w:val="24"/>
          <w:lang w:val="en-GB"/>
        </w:rPr>
        <w:lastRenderedPageBreak/>
        <w:t xml:space="preserve">was 16.4 mm, which allowed an increment (resolution) of 8 μm (= voxel size); Integration time was set on 300 </w:t>
      </w:r>
      <w:proofErr w:type="spellStart"/>
      <w:r w:rsidRPr="00475189">
        <w:rPr>
          <w:rFonts w:ascii="Arial" w:hAnsi="Arial" w:cs="Arial"/>
          <w:sz w:val="24"/>
          <w:szCs w:val="24"/>
          <w:lang w:val="en-GB"/>
        </w:rPr>
        <w:t>ms</w:t>
      </w:r>
      <w:proofErr w:type="spellEnd"/>
      <w:r w:rsidRPr="00475189">
        <w:rPr>
          <w:rFonts w:ascii="Arial" w:hAnsi="Arial" w:cs="Arial"/>
          <w:sz w:val="24"/>
          <w:szCs w:val="24"/>
          <w:lang w:val="en-GB"/>
        </w:rPr>
        <w:t>. The sample had a total number of approx. 900 slices (7.2 mm in length), with a measurement time of 105 min.</w:t>
      </w:r>
    </w:p>
    <w:p w14:paraId="7DF099FE" w14:textId="77777777" w:rsidR="006C33DE" w:rsidRPr="00475189" w:rsidRDefault="006C33DE" w:rsidP="007A7F0E">
      <w:pPr>
        <w:spacing w:after="120" w:line="480" w:lineRule="auto"/>
        <w:rPr>
          <w:rFonts w:ascii="Arial" w:hAnsi="Arial" w:cs="Arial"/>
          <w:i/>
          <w:sz w:val="24"/>
          <w:szCs w:val="24"/>
          <w:lang w:val="en-GB"/>
        </w:rPr>
      </w:pPr>
      <w:r w:rsidRPr="00475189">
        <w:rPr>
          <w:rFonts w:ascii="Arial" w:hAnsi="Arial" w:cs="Arial"/>
          <w:i/>
          <w:sz w:val="24"/>
          <w:szCs w:val="24"/>
          <w:lang w:val="en-GB"/>
        </w:rPr>
        <w:t>Optical coherence tomography (OCT):</w:t>
      </w:r>
    </w:p>
    <w:p w14:paraId="1250A075" w14:textId="44B537A9" w:rsidR="006C33DE" w:rsidRPr="00475189" w:rsidRDefault="006C33DE" w:rsidP="007A7F0E">
      <w:pPr>
        <w:spacing w:after="120" w:line="480" w:lineRule="auto"/>
        <w:ind w:firstLine="708"/>
        <w:rPr>
          <w:rFonts w:ascii="Arial" w:hAnsi="Arial" w:cs="Arial"/>
          <w:sz w:val="24"/>
          <w:szCs w:val="24"/>
          <w:lang w:val="en-GB"/>
        </w:rPr>
      </w:pPr>
      <w:r w:rsidRPr="00475189">
        <w:rPr>
          <w:rFonts w:ascii="Arial" w:hAnsi="Arial" w:cs="Arial"/>
          <w:sz w:val="24"/>
          <w:szCs w:val="24"/>
          <w:lang w:val="en-GB"/>
        </w:rPr>
        <w:t>For OCT analysis</w:t>
      </w:r>
      <w:r w:rsidRPr="00475189">
        <w:rPr>
          <w:rFonts w:ascii="Arial" w:eastAsia="Arial" w:hAnsi="Arial" w:cs="Arial"/>
          <w:sz w:val="24"/>
          <w:szCs w:val="24"/>
          <w:lang w:val="en-GB"/>
        </w:rPr>
        <w:t>,</w:t>
      </w:r>
      <w:r w:rsidRPr="00475189">
        <w:rPr>
          <w:rFonts w:ascii="Arial" w:hAnsi="Arial" w:cs="Arial"/>
          <w:sz w:val="24"/>
          <w:szCs w:val="24"/>
          <w:lang w:val="en-GB"/>
        </w:rPr>
        <w:t xml:space="preserve"> a </w:t>
      </w:r>
      <w:proofErr w:type="spellStart"/>
      <w:r w:rsidRPr="00475189">
        <w:rPr>
          <w:rFonts w:ascii="Arial" w:hAnsi="Arial" w:cs="Arial"/>
          <w:sz w:val="24"/>
          <w:szCs w:val="24"/>
          <w:lang w:val="en-GB"/>
        </w:rPr>
        <w:t>fiber</w:t>
      </w:r>
      <w:proofErr w:type="spellEnd"/>
      <w:r w:rsidRPr="00475189">
        <w:rPr>
          <w:rFonts w:ascii="Arial" w:hAnsi="Arial" w:cs="Arial"/>
          <w:sz w:val="24"/>
          <w:szCs w:val="24"/>
          <w:lang w:val="en-GB"/>
        </w:rPr>
        <w:t xml:space="preserve"> based swept source optical coherence tomography (SSOCT) system </w:t>
      </w:r>
      <w:r w:rsidRPr="00475189">
        <w:rPr>
          <w:rFonts w:ascii="Arial" w:eastAsia="Arial" w:hAnsi="Arial" w:cs="Arial"/>
          <w:sz w:val="24"/>
          <w:szCs w:val="24"/>
          <w:lang w:val="en-GB"/>
        </w:rPr>
        <w:t>with a centre wavelength of 1315nm and a telecentric scanner setup were</w:t>
      </w:r>
      <w:r w:rsidRPr="00475189">
        <w:rPr>
          <w:rFonts w:ascii="Arial" w:hAnsi="Arial" w:cs="Arial"/>
          <w:sz w:val="24"/>
          <w:szCs w:val="24"/>
          <w:lang w:val="en-GB"/>
        </w:rPr>
        <w:t xml:space="preserve"> used. The laser source (</w:t>
      </w:r>
      <w:proofErr w:type="spellStart"/>
      <w:r w:rsidRPr="00475189">
        <w:rPr>
          <w:rFonts w:ascii="Arial" w:hAnsi="Arial" w:cs="Arial"/>
          <w:sz w:val="24"/>
          <w:szCs w:val="24"/>
          <w:lang w:val="en-GB"/>
        </w:rPr>
        <w:t>Santec</w:t>
      </w:r>
      <w:proofErr w:type="spellEnd"/>
      <w:r w:rsidRPr="00475189">
        <w:rPr>
          <w:rFonts w:ascii="Arial" w:hAnsi="Arial" w:cs="Arial"/>
          <w:sz w:val="24"/>
          <w:szCs w:val="24"/>
          <w:lang w:val="en-GB"/>
        </w:rPr>
        <w:t xml:space="preserve"> HSL-20-50-M, A-scan rate 50kHz, </w:t>
      </w:r>
      <w:proofErr w:type="spellStart"/>
      <w:r w:rsidRPr="00475189">
        <w:rPr>
          <w:rFonts w:ascii="Arial" w:hAnsi="Arial" w:cs="Arial"/>
          <w:sz w:val="24"/>
          <w:szCs w:val="24"/>
          <w:lang w:val="en-GB"/>
        </w:rPr>
        <w:t>Santec</w:t>
      </w:r>
      <w:proofErr w:type="spellEnd"/>
      <w:r w:rsidRPr="00475189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475189">
        <w:rPr>
          <w:rFonts w:ascii="Arial" w:hAnsi="Arial" w:cs="Arial"/>
          <w:sz w:val="24"/>
          <w:szCs w:val="24"/>
          <w:lang w:val="en-GB"/>
        </w:rPr>
        <w:t>Ohkusa-Nenjozaka</w:t>
      </w:r>
      <w:proofErr w:type="spellEnd"/>
      <w:r w:rsidRPr="00475189">
        <w:rPr>
          <w:rFonts w:ascii="Arial" w:hAnsi="Arial" w:cs="Arial"/>
          <w:sz w:val="24"/>
          <w:szCs w:val="24"/>
          <w:lang w:val="en-GB"/>
        </w:rPr>
        <w:t xml:space="preserve">, Komaki, Japan) provides a </w:t>
      </w:r>
      <w:proofErr w:type="spellStart"/>
      <w:r w:rsidRPr="00475189">
        <w:rPr>
          <w:rFonts w:ascii="Arial" w:hAnsi="Arial" w:cs="Arial"/>
          <w:sz w:val="24"/>
          <w:szCs w:val="24"/>
          <w:lang w:val="en-GB"/>
        </w:rPr>
        <w:t>center</w:t>
      </w:r>
      <w:proofErr w:type="spellEnd"/>
      <w:r w:rsidRPr="00475189">
        <w:rPr>
          <w:rFonts w:ascii="Arial" w:hAnsi="Arial" w:cs="Arial"/>
          <w:sz w:val="24"/>
          <w:szCs w:val="24"/>
          <w:lang w:val="en-GB"/>
        </w:rPr>
        <w:t xml:space="preserve"> wavelength of 1315nm and a coherence length of 21mm. </w:t>
      </w:r>
      <w:r w:rsidRPr="00475189">
        <w:rPr>
          <w:rFonts w:ascii="Arial" w:eastAsia="Arial" w:hAnsi="Arial" w:cs="Arial"/>
          <w:sz w:val="24"/>
          <w:szCs w:val="24"/>
          <w:lang w:val="en-GB"/>
        </w:rPr>
        <w:t>The system provides a lateral resolution of 50</w:t>
      </w:r>
      <w:r w:rsidRPr="00475189">
        <w:rPr>
          <w:rFonts w:ascii="Arial" w:eastAsia="Arial" w:hAnsi="Arial" w:cs="Arial"/>
          <w:sz w:val="24"/>
          <w:szCs w:val="24"/>
          <w:lang w:val="en-GB"/>
        </w:rPr>
        <w:t>m and an</w:t>
      </w:r>
      <w:r w:rsidRPr="00475189">
        <w:rPr>
          <w:rFonts w:ascii="Arial" w:hAnsi="Arial" w:cs="Arial"/>
          <w:sz w:val="24"/>
          <w:szCs w:val="24"/>
          <w:lang w:val="en-GB"/>
        </w:rPr>
        <w:t xml:space="preserve"> axial resolution of 10μm in air or 7μm in tissue respectively, assuming a refractive index of 1.38. To perform C-scans, we used a telecentric scanning system, consisting of two </w:t>
      </w:r>
      <w:proofErr w:type="spellStart"/>
      <w:r w:rsidRPr="00475189">
        <w:rPr>
          <w:rFonts w:ascii="Arial" w:hAnsi="Arial" w:cs="Arial"/>
          <w:sz w:val="24"/>
          <w:szCs w:val="24"/>
          <w:lang w:val="en-GB"/>
        </w:rPr>
        <w:t>galvo</w:t>
      </w:r>
      <w:proofErr w:type="spellEnd"/>
      <w:r w:rsidRPr="00475189">
        <w:rPr>
          <w:rFonts w:ascii="Arial" w:hAnsi="Arial" w:cs="Arial"/>
          <w:sz w:val="24"/>
          <w:szCs w:val="24"/>
          <w:lang w:val="en-GB"/>
        </w:rPr>
        <w:t xml:space="preserve"> mirrors and a scanning lens package, providing a lateral resolution of 50μm. The laser polarization state for signal optimization was adjusted with two </w:t>
      </w:r>
      <w:proofErr w:type="spellStart"/>
      <w:r w:rsidRPr="00475189">
        <w:rPr>
          <w:rFonts w:ascii="Arial" w:hAnsi="Arial" w:cs="Arial"/>
          <w:sz w:val="24"/>
          <w:szCs w:val="24"/>
          <w:lang w:val="en-GB"/>
        </w:rPr>
        <w:t>fiber</w:t>
      </w:r>
      <w:proofErr w:type="spellEnd"/>
      <w:r w:rsidRPr="00475189">
        <w:rPr>
          <w:rFonts w:ascii="Arial" w:hAnsi="Arial" w:cs="Arial"/>
          <w:sz w:val="24"/>
          <w:szCs w:val="24"/>
          <w:lang w:val="en-GB"/>
        </w:rPr>
        <w:t xml:space="preserve"> polarization controllers (FPC020, Thorlabs, Newton, NJ, USA).  The field of view was set to 5mm times 5mm</w:t>
      </w:r>
      <w:r w:rsidRPr="00475189">
        <w:rPr>
          <w:rFonts w:ascii="Arial" w:eastAsia="Arial" w:hAnsi="Arial" w:cs="Arial"/>
          <w:sz w:val="24"/>
          <w:szCs w:val="24"/>
          <w:lang w:val="en-GB"/>
        </w:rPr>
        <w:t xml:space="preserve"> with </w:t>
      </w:r>
      <w:r w:rsidRPr="00475189">
        <w:rPr>
          <w:rFonts w:ascii="Arial" w:hAnsi="Arial" w:cs="Arial"/>
          <w:sz w:val="24"/>
          <w:szCs w:val="24"/>
          <w:lang w:val="en-GB"/>
        </w:rPr>
        <w:t xml:space="preserve">a </w:t>
      </w:r>
      <w:r w:rsidRPr="00475189">
        <w:rPr>
          <w:rFonts w:ascii="Arial" w:eastAsia="Arial" w:hAnsi="Arial" w:cs="Arial"/>
          <w:sz w:val="24"/>
          <w:szCs w:val="24"/>
          <w:lang w:val="en-GB"/>
        </w:rPr>
        <w:t xml:space="preserve">lateral </w:t>
      </w:r>
      <w:r w:rsidRPr="00475189">
        <w:rPr>
          <w:rFonts w:ascii="Arial" w:hAnsi="Arial" w:cs="Arial"/>
          <w:sz w:val="24"/>
          <w:szCs w:val="24"/>
          <w:lang w:val="en-GB"/>
        </w:rPr>
        <w:t xml:space="preserve">step size of 10μm in x- and y-direction. The axial sampling rate was set to 4096 pixels per A-scan. Each aneurysm was measured at least four times in direct succession and in the same position. The acquired C-scans of each sample were averaged to increase the signal-to-noise ratio. </w:t>
      </w:r>
      <w:r w:rsidR="00D90DFA" w:rsidRPr="00475189">
        <w:rPr>
          <w:rFonts w:ascii="Arial" w:hAnsi="Arial" w:cs="Arial"/>
          <w:sz w:val="24"/>
          <w:szCs w:val="24"/>
          <w:lang w:val="en-GB"/>
        </w:rPr>
        <w:t xml:space="preserve">For assessment </w:t>
      </w:r>
      <w:proofErr w:type="gramStart"/>
      <w:r w:rsidR="00D90DFA" w:rsidRPr="00475189">
        <w:rPr>
          <w:rFonts w:ascii="Arial" w:hAnsi="Arial" w:cs="Arial"/>
          <w:sz w:val="24"/>
          <w:szCs w:val="24"/>
          <w:lang w:val="en-GB"/>
        </w:rPr>
        <w:t>of  neointima</w:t>
      </w:r>
      <w:proofErr w:type="gramEnd"/>
      <w:r w:rsidR="00D90DFA" w:rsidRPr="00475189">
        <w:rPr>
          <w:rFonts w:ascii="Arial" w:hAnsi="Arial" w:cs="Arial"/>
          <w:sz w:val="24"/>
          <w:szCs w:val="24"/>
          <w:lang w:val="en-GB"/>
        </w:rPr>
        <w:t xml:space="preserve"> thickness, we measured the distance between the luminal stent surface and the outermost tissue layers of the aorta (adventitia) by optical coherence tomography (OCT) (Supplementum figure IV).</w:t>
      </w:r>
    </w:p>
    <w:p w14:paraId="3A2873A8" w14:textId="77777777" w:rsidR="006C33DE" w:rsidRPr="00475189" w:rsidRDefault="006C33DE" w:rsidP="007A7F0E">
      <w:pPr>
        <w:spacing w:after="120" w:line="480" w:lineRule="auto"/>
        <w:outlineLvl w:val="0"/>
        <w:rPr>
          <w:rFonts w:ascii="Arial" w:hAnsi="Arial" w:cs="Arial"/>
          <w:b/>
          <w:sz w:val="24"/>
          <w:szCs w:val="24"/>
          <w:lang w:val="en-GB"/>
        </w:rPr>
      </w:pPr>
    </w:p>
    <w:p w14:paraId="3CE9D4FD" w14:textId="77777777" w:rsidR="006C33DE" w:rsidRPr="00475189" w:rsidRDefault="006C33DE" w:rsidP="007A7F0E">
      <w:pPr>
        <w:spacing w:after="120" w:line="480" w:lineRule="auto"/>
        <w:outlineLvl w:val="0"/>
        <w:rPr>
          <w:rFonts w:ascii="Arial" w:hAnsi="Arial" w:cs="Arial"/>
          <w:b/>
          <w:sz w:val="24"/>
          <w:szCs w:val="24"/>
          <w:lang w:val="en-GB"/>
        </w:rPr>
      </w:pPr>
    </w:p>
    <w:p w14:paraId="719CC965" w14:textId="15E5D059" w:rsidR="006C33DE" w:rsidRPr="00475189" w:rsidRDefault="006C33DE" w:rsidP="007A7F0E">
      <w:pPr>
        <w:spacing w:after="120" w:line="480" w:lineRule="auto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475189">
        <w:rPr>
          <w:rFonts w:ascii="Arial" w:hAnsi="Arial" w:cs="Arial"/>
          <w:b/>
          <w:sz w:val="24"/>
          <w:szCs w:val="24"/>
          <w:lang w:val="en-GB"/>
        </w:rPr>
        <w:br w:type="column"/>
      </w:r>
      <w:r w:rsidRPr="00475189">
        <w:rPr>
          <w:rFonts w:ascii="Arial" w:hAnsi="Arial" w:cs="Arial"/>
          <w:sz w:val="24"/>
          <w:szCs w:val="24"/>
        </w:rPr>
        <w:lastRenderedPageBreak/>
        <w:t xml:space="preserve"> </w:t>
      </w:r>
      <w:r w:rsidRPr="00475189">
        <w:rPr>
          <w:rFonts w:ascii="Arial" w:hAnsi="Arial" w:cs="Arial"/>
          <w:b/>
          <w:sz w:val="24"/>
          <w:szCs w:val="24"/>
          <w:lang w:val="en-GB"/>
        </w:rPr>
        <w:t>Supplemental Figures and Figure Legends</w:t>
      </w:r>
    </w:p>
    <w:p w14:paraId="233C7192" w14:textId="52DE1078" w:rsidR="007A7F0E" w:rsidRPr="00475189" w:rsidRDefault="00C824A7" w:rsidP="007A7F0E">
      <w:pPr>
        <w:spacing w:after="120" w:line="480" w:lineRule="auto"/>
        <w:rPr>
          <w:rFonts w:ascii="Arial" w:hAnsi="Arial" w:cs="Arial"/>
          <w:i/>
          <w:sz w:val="24"/>
          <w:szCs w:val="24"/>
          <w:lang w:val="en-GB"/>
        </w:rPr>
      </w:pPr>
      <w:r w:rsidRPr="00475189">
        <w:rPr>
          <w:rFonts w:ascii="Arial" w:hAnsi="Arial" w:cs="Arial"/>
          <w:i/>
          <w:sz w:val="24"/>
          <w:szCs w:val="24"/>
          <w:lang w:val="en-GB"/>
        </w:rPr>
        <w:t>Supplementa</w:t>
      </w:r>
      <w:r w:rsidR="00D171C8" w:rsidRPr="00475189">
        <w:rPr>
          <w:rFonts w:ascii="Arial" w:hAnsi="Arial" w:cs="Arial"/>
          <w:i/>
          <w:sz w:val="24"/>
          <w:szCs w:val="24"/>
          <w:lang w:val="en-GB"/>
        </w:rPr>
        <w:t>ry Figure 1: Details of histologic evaluation comparing animals</w:t>
      </w:r>
      <w:r w:rsidR="00E20D75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D171C8" w:rsidRPr="00475189">
        <w:rPr>
          <w:rFonts w:ascii="Arial" w:hAnsi="Arial" w:cs="Arial"/>
          <w:i/>
          <w:sz w:val="24"/>
          <w:szCs w:val="24"/>
          <w:lang w:val="en-GB"/>
        </w:rPr>
        <w:t>with no treatment, with br</w:t>
      </w:r>
      <w:bookmarkStart w:id="1" w:name="_GoBack"/>
      <w:bookmarkEnd w:id="1"/>
      <w:r w:rsidR="00D171C8" w:rsidRPr="00475189">
        <w:rPr>
          <w:rFonts w:ascii="Arial" w:hAnsi="Arial" w:cs="Arial"/>
          <w:i/>
          <w:sz w:val="24"/>
          <w:szCs w:val="24"/>
          <w:lang w:val="en-GB"/>
        </w:rPr>
        <w:t xml:space="preserve">MAS treatment, with aspirin </w:t>
      </w:r>
      <w:r w:rsidR="00901E01" w:rsidRPr="00475189">
        <w:rPr>
          <w:rFonts w:ascii="Arial" w:hAnsi="Arial" w:cs="Arial"/>
          <w:i/>
          <w:sz w:val="24"/>
          <w:szCs w:val="24"/>
          <w:lang w:val="en-GB"/>
        </w:rPr>
        <w:t>treatment,</w:t>
      </w:r>
      <w:r w:rsidR="00D171C8" w:rsidRPr="00475189">
        <w:rPr>
          <w:rFonts w:ascii="Arial" w:hAnsi="Arial" w:cs="Arial"/>
          <w:i/>
          <w:sz w:val="24"/>
          <w:szCs w:val="24"/>
          <w:lang w:val="en-GB"/>
        </w:rPr>
        <w:t xml:space="preserve"> and with brMAS + aspirin treatment.</w:t>
      </w:r>
    </w:p>
    <w:p w14:paraId="07136F05" w14:textId="2FA9E17E" w:rsidR="00FB5E6D" w:rsidRPr="00475189" w:rsidRDefault="00FB5E6D" w:rsidP="007A7F0E">
      <w:pPr>
        <w:spacing w:after="120" w:line="480" w:lineRule="auto"/>
        <w:rPr>
          <w:rFonts w:ascii="Arial" w:hAnsi="Arial" w:cs="Arial"/>
          <w:b/>
          <w:sz w:val="24"/>
          <w:szCs w:val="24"/>
          <w:lang w:val="en-GB"/>
        </w:rPr>
      </w:pPr>
      <w:r w:rsidRPr="00475189">
        <w:rPr>
          <w:rFonts w:ascii="Arial" w:hAnsi="Arial" w:cs="Arial"/>
          <w:sz w:val="24"/>
          <w:szCs w:val="24"/>
          <w:lang w:val="en-GB"/>
        </w:rPr>
        <w:t>Values are presented as median and interquartile range and arbitrary units 0-3 on the y-axis represent categories (“none”, “mild”, “moderate”, “severe”) according to the previously described neointima score.</w:t>
      </w:r>
      <w:r w:rsidRPr="00475189">
        <w:rPr>
          <w:rFonts w:ascii="Arial" w:hAnsi="Arial" w:cs="Arial"/>
          <w:noProof/>
          <w:sz w:val="24"/>
          <w:szCs w:val="24"/>
          <w:vertAlign w:val="superscript"/>
          <w:lang w:val="en-GB"/>
        </w:rPr>
        <w:t>1</w:t>
      </w:r>
      <w:r w:rsidRPr="00475189">
        <w:rPr>
          <w:rFonts w:ascii="Arial" w:hAnsi="Arial" w:cs="Arial"/>
          <w:sz w:val="24"/>
          <w:szCs w:val="24"/>
          <w:lang w:val="en-GB"/>
        </w:rPr>
        <w:t xml:space="preserve"> For </w:t>
      </w:r>
      <w:proofErr w:type="spellStart"/>
      <w:r w:rsidRPr="00475189">
        <w:rPr>
          <w:rFonts w:ascii="Arial" w:hAnsi="Arial" w:cs="Arial"/>
          <w:sz w:val="24"/>
          <w:szCs w:val="24"/>
          <w:lang w:val="en-GB"/>
        </w:rPr>
        <w:t>neoinitma</w:t>
      </w:r>
      <w:proofErr w:type="spellEnd"/>
      <w:r w:rsidRPr="00475189">
        <w:rPr>
          <w:rFonts w:ascii="Arial" w:hAnsi="Arial" w:cs="Arial"/>
          <w:sz w:val="24"/>
          <w:szCs w:val="24"/>
          <w:lang w:val="en-GB"/>
        </w:rPr>
        <w:t xml:space="preserve"> thickness values are given in μm as an average of three measurements of the neointima along the former orifice and shown as mean ± SD. ANOVA-testing between categories revealed p-values as shown in the titles. Asterisks between subcategories indicate statistically significant differences between these groups in direct testing (</w:t>
      </w:r>
      <w:r w:rsidRPr="00475189">
        <w:rPr>
          <w:rFonts w:ascii="Arial" w:hAnsi="Arial" w:cs="Arial"/>
          <w:sz w:val="24"/>
          <w:szCs w:val="24"/>
          <w:lang w:val="en-US"/>
        </w:rPr>
        <w:t>Mann-Whitney-</w:t>
      </w:r>
      <w:r w:rsidRPr="00475189">
        <w:rPr>
          <w:rFonts w:ascii="Arial" w:hAnsi="Arial" w:cs="Arial"/>
          <w:i/>
          <w:sz w:val="24"/>
          <w:szCs w:val="24"/>
          <w:lang w:val="en-US"/>
        </w:rPr>
        <w:t>U</w:t>
      </w:r>
      <w:r w:rsidRPr="00475189">
        <w:rPr>
          <w:rFonts w:ascii="Arial" w:hAnsi="Arial" w:cs="Arial"/>
          <w:sz w:val="24"/>
          <w:szCs w:val="24"/>
          <w:lang w:val="en-US"/>
        </w:rPr>
        <w:t>-Test for non-parametrically distributed values; student t-test for neointima thickness</w:t>
      </w:r>
      <w:r w:rsidRPr="00475189">
        <w:rPr>
          <w:rFonts w:ascii="Arial" w:hAnsi="Arial" w:cs="Arial"/>
          <w:sz w:val="24"/>
          <w:szCs w:val="24"/>
          <w:lang w:val="en-GB"/>
        </w:rPr>
        <w:t>).</w:t>
      </w:r>
    </w:p>
    <w:p w14:paraId="26E71F94" w14:textId="100CDD4F" w:rsidR="006C33DE" w:rsidRPr="00475189" w:rsidRDefault="004200BF" w:rsidP="007A7F0E">
      <w:pPr>
        <w:spacing w:after="120" w:line="480" w:lineRule="auto"/>
        <w:rPr>
          <w:rFonts w:ascii="Arial" w:hAnsi="Arial" w:cs="Arial"/>
          <w:sz w:val="24"/>
          <w:szCs w:val="24"/>
          <w:lang w:val="en-GB"/>
        </w:rPr>
      </w:pPr>
      <w:r w:rsidRPr="00475189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154D5B0" wp14:editId="5CF3CD03">
            <wp:extent cx="5791200" cy="8435340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AA87C" w14:textId="45FC665B" w:rsidR="007A7F0E" w:rsidRPr="00475189" w:rsidRDefault="00C824A7" w:rsidP="007A7F0E">
      <w:pPr>
        <w:spacing w:after="120" w:line="480" w:lineRule="auto"/>
        <w:rPr>
          <w:rFonts w:ascii="Arial" w:hAnsi="Arial" w:cs="Arial"/>
          <w:i/>
          <w:sz w:val="24"/>
          <w:szCs w:val="24"/>
          <w:lang w:val="en-GB"/>
        </w:rPr>
      </w:pPr>
      <w:r w:rsidRPr="00475189">
        <w:rPr>
          <w:rFonts w:ascii="Arial" w:hAnsi="Arial" w:cs="Arial"/>
          <w:i/>
          <w:sz w:val="24"/>
          <w:szCs w:val="24"/>
          <w:lang w:val="en-GB"/>
        </w:rPr>
        <w:lastRenderedPageBreak/>
        <w:t>Supplementa</w:t>
      </w:r>
      <w:r w:rsidR="00D171C8" w:rsidRPr="00475189">
        <w:rPr>
          <w:rFonts w:ascii="Arial" w:hAnsi="Arial" w:cs="Arial"/>
          <w:i/>
          <w:sz w:val="24"/>
          <w:szCs w:val="24"/>
          <w:lang w:val="en-GB"/>
        </w:rPr>
        <w:t xml:space="preserve">ry </w:t>
      </w:r>
      <w:r w:rsidR="00FB5E6D" w:rsidRPr="00475189">
        <w:rPr>
          <w:rFonts w:ascii="Arial" w:hAnsi="Arial" w:cs="Arial"/>
          <w:i/>
          <w:sz w:val="24"/>
          <w:szCs w:val="24"/>
          <w:lang w:val="en-GB"/>
        </w:rPr>
        <w:t>Figure II: Details of histologic evaluation comparing bioresorbable magnesium-alloy stents</w:t>
      </w:r>
      <w:r w:rsidR="00D171C8" w:rsidRPr="00475189">
        <w:rPr>
          <w:rFonts w:ascii="Arial" w:hAnsi="Arial" w:cs="Arial"/>
          <w:i/>
          <w:sz w:val="24"/>
          <w:szCs w:val="24"/>
          <w:lang w:val="en-GB"/>
        </w:rPr>
        <w:t xml:space="preserve"> (brMAS) with permanent cobalt-chromium stents (CoCrS)</w:t>
      </w:r>
    </w:p>
    <w:p w14:paraId="295562DC" w14:textId="3CF06E0C" w:rsidR="00FB5E6D" w:rsidRPr="00475189" w:rsidRDefault="00FB5E6D" w:rsidP="007A7F0E">
      <w:pPr>
        <w:spacing w:after="120" w:line="480" w:lineRule="auto"/>
        <w:rPr>
          <w:rFonts w:ascii="Arial" w:hAnsi="Arial" w:cs="Arial"/>
          <w:sz w:val="24"/>
          <w:szCs w:val="24"/>
          <w:lang w:val="en-GB"/>
        </w:rPr>
      </w:pPr>
      <w:r w:rsidRPr="00475189">
        <w:rPr>
          <w:rFonts w:ascii="Arial" w:hAnsi="Arial" w:cs="Arial"/>
          <w:sz w:val="24"/>
          <w:szCs w:val="24"/>
          <w:lang w:val="en-GB"/>
        </w:rPr>
        <w:t>Values are presented as median and interquartile range and arbitrary units 0-3 on the y-axis represent categories (“none”, “mild”, “moderate”, “severe”) according to the neointima score.</w:t>
      </w:r>
      <w:r w:rsidRPr="00475189">
        <w:rPr>
          <w:rFonts w:ascii="Arial" w:hAnsi="Arial" w:cs="Arial"/>
          <w:noProof/>
          <w:sz w:val="24"/>
          <w:szCs w:val="24"/>
          <w:vertAlign w:val="superscript"/>
          <w:lang w:val="en-GB"/>
        </w:rPr>
        <w:t>1</w:t>
      </w:r>
      <w:r w:rsidRPr="00475189">
        <w:rPr>
          <w:rFonts w:ascii="Arial" w:hAnsi="Arial" w:cs="Arial"/>
          <w:sz w:val="24"/>
          <w:szCs w:val="24"/>
          <w:lang w:val="en-GB"/>
        </w:rPr>
        <w:t xml:space="preserve"> For </w:t>
      </w:r>
      <w:proofErr w:type="spellStart"/>
      <w:r w:rsidRPr="00475189">
        <w:rPr>
          <w:rFonts w:ascii="Arial" w:hAnsi="Arial" w:cs="Arial"/>
          <w:sz w:val="24"/>
          <w:szCs w:val="24"/>
          <w:lang w:val="en-GB"/>
        </w:rPr>
        <w:t>neoinitma</w:t>
      </w:r>
      <w:proofErr w:type="spellEnd"/>
      <w:r w:rsidRPr="00475189">
        <w:rPr>
          <w:rFonts w:ascii="Arial" w:hAnsi="Arial" w:cs="Arial"/>
          <w:sz w:val="24"/>
          <w:szCs w:val="24"/>
          <w:lang w:val="en-GB"/>
        </w:rPr>
        <w:t xml:space="preserve"> thickness values are given in μm as an average of three measurements of the neointima along the former orifice and shown as mean ± SD. For statistical testing p-values are given in the title.</w:t>
      </w:r>
    </w:p>
    <w:p w14:paraId="00F9ED45" w14:textId="01C2CD94" w:rsidR="006C33DE" w:rsidRPr="00475189" w:rsidRDefault="006C33DE" w:rsidP="007A7F0E">
      <w:pPr>
        <w:spacing w:after="120" w:line="480" w:lineRule="auto"/>
        <w:rPr>
          <w:rFonts w:ascii="Arial" w:hAnsi="Arial" w:cs="Arial"/>
          <w:sz w:val="24"/>
          <w:szCs w:val="24"/>
          <w:lang w:val="en-GB"/>
        </w:rPr>
      </w:pPr>
    </w:p>
    <w:p w14:paraId="0F10165C" w14:textId="537D78DB" w:rsidR="006C33DE" w:rsidRPr="00475189" w:rsidRDefault="00C824A7" w:rsidP="007A7F0E">
      <w:pPr>
        <w:spacing w:after="120" w:line="480" w:lineRule="auto"/>
        <w:rPr>
          <w:rFonts w:ascii="Arial" w:hAnsi="Arial" w:cs="Arial"/>
          <w:sz w:val="24"/>
          <w:szCs w:val="24"/>
          <w:lang w:val="en-GB"/>
        </w:rPr>
      </w:pPr>
      <w:r w:rsidRPr="00475189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0D4438EF" wp14:editId="6C36D737">
            <wp:extent cx="5966460" cy="84245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81" cy="843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D8692" w14:textId="106FED5A" w:rsidR="007A7F0E" w:rsidRPr="00475189" w:rsidRDefault="00C824A7" w:rsidP="007A7F0E">
      <w:pPr>
        <w:pStyle w:val="StandardWeb"/>
        <w:spacing w:after="120" w:line="480" w:lineRule="auto"/>
        <w:rPr>
          <w:rFonts w:ascii="Arial" w:hAnsi="Arial" w:cs="Arial"/>
          <w:i/>
          <w:sz w:val="24"/>
          <w:szCs w:val="24"/>
          <w:lang w:val="en-GB"/>
        </w:rPr>
      </w:pPr>
      <w:r w:rsidRPr="00475189">
        <w:rPr>
          <w:rFonts w:ascii="Arial" w:hAnsi="Arial" w:cs="Arial"/>
          <w:i/>
          <w:sz w:val="24"/>
          <w:szCs w:val="24"/>
          <w:lang w:val="en-GB"/>
        </w:rPr>
        <w:lastRenderedPageBreak/>
        <w:t>Supplementa</w:t>
      </w:r>
      <w:r w:rsidR="00D171C8" w:rsidRPr="00475189">
        <w:rPr>
          <w:rFonts w:ascii="Arial" w:hAnsi="Arial" w:cs="Arial"/>
          <w:i/>
          <w:sz w:val="24"/>
          <w:szCs w:val="24"/>
          <w:lang w:val="en-GB"/>
        </w:rPr>
        <w:t>ry</w:t>
      </w:r>
      <w:r w:rsidRPr="00475189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FB5E6D" w:rsidRPr="00475189">
        <w:rPr>
          <w:rFonts w:ascii="Arial" w:hAnsi="Arial" w:cs="Arial"/>
          <w:i/>
          <w:sz w:val="24"/>
          <w:szCs w:val="24"/>
          <w:lang w:val="en-GB"/>
        </w:rPr>
        <w:t>Figure I</w:t>
      </w:r>
      <w:r w:rsidR="00AF2D99" w:rsidRPr="00475189">
        <w:rPr>
          <w:rFonts w:ascii="Arial" w:hAnsi="Arial" w:cs="Arial"/>
          <w:i/>
          <w:sz w:val="24"/>
          <w:szCs w:val="24"/>
          <w:lang w:val="en-GB"/>
        </w:rPr>
        <w:t>II</w:t>
      </w:r>
      <w:r w:rsidR="00FB5E6D" w:rsidRPr="00475189">
        <w:rPr>
          <w:rFonts w:ascii="Arial" w:hAnsi="Arial" w:cs="Arial"/>
          <w:i/>
          <w:sz w:val="24"/>
          <w:szCs w:val="24"/>
          <w:lang w:val="en-GB"/>
        </w:rPr>
        <w:t>: OCT analysis of the degrading stent</w:t>
      </w:r>
    </w:p>
    <w:p w14:paraId="3DDB29FE" w14:textId="66474421" w:rsidR="00FB5E6D" w:rsidRPr="00475189" w:rsidRDefault="00FB5E6D" w:rsidP="007A7F0E">
      <w:pPr>
        <w:pStyle w:val="StandardWeb"/>
        <w:spacing w:after="120" w:line="480" w:lineRule="auto"/>
        <w:rPr>
          <w:rFonts w:ascii="Arial" w:hAnsi="Arial" w:cs="Arial"/>
          <w:sz w:val="24"/>
          <w:szCs w:val="24"/>
          <w:lang w:val="en-GB"/>
        </w:rPr>
      </w:pPr>
      <w:r w:rsidRPr="00475189">
        <w:rPr>
          <w:rFonts w:ascii="Arial" w:hAnsi="Arial" w:cs="Arial"/>
          <w:sz w:val="24"/>
          <w:szCs w:val="24"/>
          <w:lang w:val="en-GB"/>
        </w:rPr>
        <w:t>A: Side and frontal view on a 3D volume reconstruction of a stent after 6 months implantation; B: Maximal projection from above; C: corresponding B-scan (the doted red line in B indicates the cutting plane); a) cutting surface; b) transition from lumen to endothelium; c) stent loop; d) aneurysm dome; e) resorbed stent loop; f) still existing stent loop; g) shadow below stent loop (since the laser cannot penetrate the magnesium part of the stent); h) slight shadow (indicating the laser light penetrated the degraded stent material.</w:t>
      </w:r>
    </w:p>
    <w:p w14:paraId="773673ED" w14:textId="77777777" w:rsidR="006C33DE" w:rsidRPr="00475189" w:rsidRDefault="006C33DE" w:rsidP="007A7F0E">
      <w:pPr>
        <w:spacing w:after="120" w:line="480" w:lineRule="auto"/>
        <w:rPr>
          <w:rFonts w:ascii="Arial" w:hAnsi="Arial" w:cs="Arial"/>
          <w:sz w:val="24"/>
          <w:szCs w:val="24"/>
          <w:lang w:val="en-GB"/>
        </w:rPr>
      </w:pPr>
    </w:p>
    <w:p w14:paraId="4A159DE4" w14:textId="77777777" w:rsidR="006C33DE" w:rsidRPr="00475189" w:rsidRDefault="00C31E3E" w:rsidP="007A7F0E">
      <w:pPr>
        <w:spacing w:after="120" w:line="480" w:lineRule="auto"/>
        <w:rPr>
          <w:rFonts w:ascii="Arial" w:hAnsi="Arial" w:cs="Arial"/>
          <w:b/>
          <w:sz w:val="24"/>
          <w:szCs w:val="24"/>
          <w:lang w:val="en-GB"/>
        </w:rPr>
      </w:pPr>
      <w:r w:rsidRPr="00475189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16CA76F" wp14:editId="706039E5">
            <wp:extent cx="5760720" cy="47853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2CBBC" w14:textId="2D0B7388" w:rsidR="006C33DE" w:rsidRPr="00475189" w:rsidRDefault="006C33DE" w:rsidP="007A7F0E">
      <w:pPr>
        <w:spacing w:after="120" w:line="480" w:lineRule="auto"/>
        <w:outlineLvl w:val="0"/>
        <w:rPr>
          <w:rFonts w:ascii="Arial" w:hAnsi="Arial" w:cs="Arial"/>
          <w:b/>
          <w:sz w:val="24"/>
          <w:szCs w:val="24"/>
          <w:lang w:val="en-GB"/>
        </w:rPr>
      </w:pPr>
    </w:p>
    <w:p w14:paraId="34BE1581" w14:textId="603FD80D" w:rsidR="00A83099" w:rsidRPr="00475189" w:rsidRDefault="00A83099" w:rsidP="00A83099">
      <w:pPr>
        <w:spacing w:after="120" w:line="480" w:lineRule="auto"/>
        <w:outlineLvl w:val="0"/>
        <w:rPr>
          <w:rFonts w:ascii="Arial" w:hAnsi="Arial" w:cs="Arial"/>
          <w:lang w:val="en-GB"/>
        </w:rPr>
      </w:pPr>
      <w:r w:rsidRPr="00475189">
        <w:rPr>
          <w:rFonts w:ascii="Arial" w:hAnsi="Arial" w:cs="Arial"/>
          <w:b/>
          <w:sz w:val="24"/>
          <w:szCs w:val="24"/>
          <w:lang w:val="en-GB"/>
        </w:rPr>
        <w:t>Supplementary Table</w:t>
      </w:r>
    </w:p>
    <w:p w14:paraId="7B4BD16C" w14:textId="0888C55E" w:rsidR="00A83099" w:rsidRPr="00475189" w:rsidRDefault="00A83099" w:rsidP="00AF2D99">
      <w:pPr>
        <w:spacing w:line="480" w:lineRule="auto"/>
        <w:rPr>
          <w:rFonts w:ascii="Arial" w:hAnsi="Arial" w:cs="Arial"/>
          <w:sz w:val="24"/>
          <w:szCs w:val="24"/>
          <w:lang w:val="en-GB"/>
        </w:rPr>
      </w:pPr>
      <w:r w:rsidRPr="00475189">
        <w:rPr>
          <w:rFonts w:ascii="Arial" w:hAnsi="Arial" w:cs="Arial"/>
          <w:sz w:val="24"/>
          <w:szCs w:val="24"/>
          <w:lang w:val="en-GB"/>
        </w:rPr>
        <w:t xml:space="preserve">Supplementary Table 1: Molecular markers (means ±SD) in </w:t>
      </w:r>
      <w:proofErr w:type="spellStart"/>
      <w:r w:rsidRPr="00475189">
        <w:rPr>
          <w:rFonts w:ascii="Arial" w:hAnsi="Arial" w:cs="Arial"/>
          <w:sz w:val="24"/>
          <w:szCs w:val="24"/>
          <w:lang w:val="en-GB"/>
        </w:rPr>
        <w:t>pg</w:t>
      </w:r>
      <w:proofErr w:type="spellEnd"/>
      <w:r w:rsidRPr="00475189">
        <w:rPr>
          <w:rFonts w:ascii="Arial" w:hAnsi="Arial" w:cs="Arial"/>
          <w:sz w:val="24"/>
          <w:szCs w:val="24"/>
          <w:lang w:val="en-GB"/>
        </w:rPr>
        <w:t xml:space="preserve">/ml homogenate for cytokines and extrapolated from semi-quantitative analysis in </w:t>
      </w:r>
      <w:proofErr w:type="spellStart"/>
      <w:r w:rsidRPr="00475189">
        <w:rPr>
          <w:rFonts w:ascii="Arial" w:hAnsi="Arial" w:cs="Arial"/>
          <w:sz w:val="24"/>
          <w:szCs w:val="24"/>
          <w:lang w:val="en-GB"/>
        </w:rPr>
        <w:t>pg</w:t>
      </w:r>
      <w:proofErr w:type="spellEnd"/>
      <w:r w:rsidRPr="00475189">
        <w:rPr>
          <w:rFonts w:ascii="Arial" w:hAnsi="Arial" w:cs="Arial"/>
          <w:sz w:val="24"/>
          <w:szCs w:val="24"/>
          <w:lang w:val="en-GB"/>
        </w:rPr>
        <w:t>/ml for MMPs by treatment categories. Aspirin administration effectively controlled the pronounced inflammation in stent-treated animals.</w:t>
      </w:r>
    </w:p>
    <w:tbl>
      <w:tblPr>
        <w:tblStyle w:val="Tabellenraster"/>
        <w:tblpPr w:leftFromText="141" w:rightFromText="141" w:vertAnchor="text" w:horzAnchor="margin" w:tblpY="49"/>
        <w:tblW w:w="9602" w:type="dxa"/>
        <w:tblLook w:val="04A0" w:firstRow="1" w:lastRow="0" w:firstColumn="1" w:lastColumn="0" w:noHBand="0" w:noVBand="1"/>
      </w:tblPr>
      <w:tblGrid>
        <w:gridCol w:w="2122"/>
        <w:gridCol w:w="1701"/>
        <w:gridCol w:w="1701"/>
        <w:gridCol w:w="1984"/>
        <w:gridCol w:w="2083"/>
        <w:gridCol w:w="11"/>
      </w:tblGrid>
      <w:tr w:rsidR="00A83099" w:rsidRPr="00475189" w14:paraId="3F2692EB" w14:textId="77777777" w:rsidTr="00FC15C5">
        <w:trPr>
          <w:gridAfter w:val="1"/>
          <w:wAfter w:w="11" w:type="dxa"/>
        </w:trPr>
        <w:tc>
          <w:tcPr>
            <w:tcW w:w="2122" w:type="dxa"/>
            <w:vAlign w:val="center"/>
          </w:tcPr>
          <w:p w14:paraId="26AE1B17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Molecular marker</w:t>
            </w:r>
          </w:p>
        </w:tc>
        <w:tc>
          <w:tcPr>
            <w:tcW w:w="1701" w:type="dxa"/>
            <w:vAlign w:val="center"/>
          </w:tcPr>
          <w:p w14:paraId="005208C4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No Stent</w:t>
            </w:r>
          </w:p>
        </w:tc>
        <w:tc>
          <w:tcPr>
            <w:tcW w:w="1701" w:type="dxa"/>
            <w:vAlign w:val="center"/>
          </w:tcPr>
          <w:p w14:paraId="6626FEA6" w14:textId="5C0ECC63" w:rsidR="00A83099" w:rsidRPr="00475189" w:rsidRDefault="00AF2D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brMAS</w:t>
            </w:r>
          </w:p>
        </w:tc>
        <w:tc>
          <w:tcPr>
            <w:tcW w:w="1984" w:type="dxa"/>
            <w:vAlign w:val="center"/>
          </w:tcPr>
          <w:p w14:paraId="01041009" w14:textId="5C874CDA" w:rsidR="00A83099" w:rsidRPr="00475189" w:rsidRDefault="00AF2D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brMAS</w:t>
            </w:r>
            <w:r w:rsidR="00A83099" w:rsidRPr="00475189">
              <w:rPr>
                <w:rFonts w:ascii="Arial" w:hAnsi="Arial" w:cs="Arial"/>
                <w:lang w:val="en-GB"/>
              </w:rPr>
              <w:t xml:space="preserve"> + </w:t>
            </w:r>
            <w:r w:rsidRPr="00475189">
              <w:rPr>
                <w:rFonts w:ascii="Arial" w:hAnsi="Arial" w:cs="Arial"/>
                <w:lang w:val="en-GB"/>
              </w:rPr>
              <w:t>A</w:t>
            </w:r>
            <w:r w:rsidR="00A83099" w:rsidRPr="00475189">
              <w:rPr>
                <w:rFonts w:ascii="Arial" w:hAnsi="Arial" w:cs="Arial"/>
                <w:lang w:val="en-GB"/>
              </w:rPr>
              <w:t>spirin</w:t>
            </w:r>
          </w:p>
        </w:tc>
        <w:tc>
          <w:tcPr>
            <w:tcW w:w="2083" w:type="dxa"/>
            <w:vAlign w:val="center"/>
          </w:tcPr>
          <w:p w14:paraId="13E7D016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ANOVA (p-value)</w:t>
            </w:r>
          </w:p>
        </w:tc>
      </w:tr>
      <w:tr w:rsidR="00A83099" w:rsidRPr="00475189" w14:paraId="17EF0D2D" w14:textId="77777777" w:rsidTr="00FC15C5">
        <w:tc>
          <w:tcPr>
            <w:tcW w:w="9602" w:type="dxa"/>
            <w:gridSpan w:val="6"/>
            <w:shd w:val="clear" w:color="auto" w:fill="D0CECE" w:themeFill="background2" w:themeFillShade="E6"/>
            <w:vAlign w:val="center"/>
          </w:tcPr>
          <w:p w14:paraId="45DF05D1" w14:textId="191A8DBE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Cytokine</w:t>
            </w:r>
            <w:r w:rsidR="00AF2D99" w:rsidRPr="00475189">
              <w:rPr>
                <w:rFonts w:ascii="Arial" w:hAnsi="Arial" w:cs="Arial"/>
                <w:lang w:val="en-GB"/>
              </w:rPr>
              <w:t>/Chemokine</w:t>
            </w:r>
            <w:r w:rsidRPr="00475189">
              <w:rPr>
                <w:rFonts w:ascii="Arial" w:hAnsi="Arial" w:cs="Arial"/>
                <w:lang w:val="en-GB"/>
              </w:rPr>
              <w:t xml:space="preserve"> </w:t>
            </w:r>
            <w:r w:rsidR="00AF2D99" w:rsidRPr="00475189">
              <w:rPr>
                <w:rFonts w:ascii="Arial" w:hAnsi="Arial" w:cs="Arial"/>
                <w:lang w:val="en-GB"/>
              </w:rPr>
              <w:t>L</w:t>
            </w:r>
            <w:r w:rsidRPr="00475189">
              <w:rPr>
                <w:rFonts w:ascii="Arial" w:hAnsi="Arial" w:cs="Arial"/>
                <w:lang w:val="en-GB"/>
              </w:rPr>
              <w:t xml:space="preserve">evel in </w:t>
            </w:r>
            <w:r w:rsidR="00AF2D99" w:rsidRPr="00475189">
              <w:rPr>
                <w:rFonts w:ascii="Arial" w:hAnsi="Arial" w:cs="Arial"/>
                <w:lang w:val="en-GB"/>
              </w:rPr>
              <w:t>S</w:t>
            </w:r>
            <w:r w:rsidRPr="00475189">
              <w:rPr>
                <w:rFonts w:ascii="Arial" w:hAnsi="Arial" w:cs="Arial"/>
                <w:lang w:val="en-GB"/>
              </w:rPr>
              <w:t xml:space="preserve">ubacute </w:t>
            </w:r>
            <w:r w:rsidR="00C623B3">
              <w:rPr>
                <w:rFonts w:ascii="Arial" w:hAnsi="Arial" w:cs="Arial"/>
                <w:lang w:val="en-GB"/>
              </w:rPr>
              <w:t>State</w:t>
            </w:r>
            <w:r w:rsidRPr="00475189">
              <w:rPr>
                <w:rFonts w:ascii="Arial" w:hAnsi="Arial" w:cs="Arial"/>
                <w:lang w:val="en-GB"/>
              </w:rPr>
              <w:t xml:space="preserve"> (1 week)</w:t>
            </w:r>
          </w:p>
        </w:tc>
      </w:tr>
      <w:tr w:rsidR="00A83099" w:rsidRPr="00475189" w14:paraId="7C1D5935" w14:textId="77777777" w:rsidTr="00FC15C5">
        <w:trPr>
          <w:gridAfter w:val="1"/>
          <w:wAfter w:w="11" w:type="dxa"/>
        </w:trPr>
        <w:tc>
          <w:tcPr>
            <w:tcW w:w="2122" w:type="dxa"/>
            <w:vAlign w:val="center"/>
          </w:tcPr>
          <w:p w14:paraId="48D9408D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Il1β</w:t>
            </w:r>
          </w:p>
        </w:tc>
        <w:tc>
          <w:tcPr>
            <w:tcW w:w="1701" w:type="dxa"/>
            <w:vAlign w:val="center"/>
          </w:tcPr>
          <w:p w14:paraId="518E4CD2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4712 ± 2823</w:t>
            </w:r>
          </w:p>
        </w:tc>
        <w:tc>
          <w:tcPr>
            <w:tcW w:w="1701" w:type="dxa"/>
            <w:vAlign w:val="center"/>
          </w:tcPr>
          <w:p w14:paraId="5B25E7D5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3200 ± 2100</w:t>
            </w:r>
          </w:p>
        </w:tc>
        <w:tc>
          <w:tcPr>
            <w:tcW w:w="1984" w:type="dxa"/>
            <w:vAlign w:val="center"/>
          </w:tcPr>
          <w:p w14:paraId="583BC486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243.7 ± 127.4</w:t>
            </w:r>
          </w:p>
        </w:tc>
        <w:tc>
          <w:tcPr>
            <w:tcW w:w="2083" w:type="dxa"/>
            <w:vAlign w:val="center"/>
          </w:tcPr>
          <w:p w14:paraId="07EF22F9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bookmarkStart w:id="2" w:name="_Hlk499808964"/>
            <w:r w:rsidRPr="00475189">
              <w:rPr>
                <w:rFonts w:ascii="Arial" w:hAnsi="Arial" w:cs="Arial"/>
                <w:lang w:val="en-GB"/>
              </w:rPr>
              <w:t>0.01*</w:t>
            </w:r>
            <w:bookmarkEnd w:id="2"/>
          </w:p>
        </w:tc>
      </w:tr>
      <w:tr w:rsidR="00A83099" w:rsidRPr="00475189" w14:paraId="24B3F23A" w14:textId="77777777" w:rsidTr="00FC15C5">
        <w:trPr>
          <w:gridAfter w:val="1"/>
          <w:wAfter w:w="11" w:type="dxa"/>
        </w:trPr>
        <w:tc>
          <w:tcPr>
            <w:tcW w:w="2122" w:type="dxa"/>
            <w:vAlign w:val="center"/>
          </w:tcPr>
          <w:p w14:paraId="0CF453A6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Il6</w:t>
            </w:r>
          </w:p>
        </w:tc>
        <w:tc>
          <w:tcPr>
            <w:tcW w:w="1701" w:type="dxa"/>
            <w:vAlign w:val="center"/>
          </w:tcPr>
          <w:p w14:paraId="1439B17E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520.4 ± 210.7</w:t>
            </w:r>
          </w:p>
        </w:tc>
        <w:tc>
          <w:tcPr>
            <w:tcW w:w="1701" w:type="dxa"/>
            <w:vAlign w:val="center"/>
          </w:tcPr>
          <w:p w14:paraId="045AEC5E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957.1 ± 637.9</w:t>
            </w:r>
          </w:p>
        </w:tc>
        <w:tc>
          <w:tcPr>
            <w:tcW w:w="1984" w:type="dxa"/>
            <w:vAlign w:val="center"/>
          </w:tcPr>
          <w:p w14:paraId="2F2A9177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286.9 ± 27.7</w:t>
            </w:r>
          </w:p>
        </w:tc>
        <w:tc>
          <w:tcPr>
            <w:tcW w:w="2083" w:type="dxa"/>
            <w:vAlign w:val="center"/>
          </w:tcPr>
          <w:p w14:paraId="0F1B485E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0.04*</w:t>
            </w:r>
          </w:p>
        </w:tc>
      </w:tr>
      <w:tr w:rsidR="00A83099" w:rsidRPr="00475189" w14:paraId="567DA21B" w14:textId="77777777" w:rsidTr="00FC15C5">
        <w:trPr>
          <w:gridAfter w:val="1"/>
          <w:wAfter w:w="11" w:type="dxa"/>
        </w:trPr>
        <w:tc>
          <w:tcPr>
            <w:tcW w:w="2122" w:type="dxa"/>
            <w:vAlign w:val="center"/>
          </w:tcPr>
          <w:p w14:paraId="266057C4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VEGF</w:t>
            </w:r>
          </w:p>
        </w:tc>
        <w:tc>
          <w:tcPr>
            <w:tcW w:w="1701" w:type="dxa"/>
            <w:vAlign w:val="center"/>
          </w:tcPr>
          <w:p w14:paraId="5913B29F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580.7 ± 291.1</w:t>
            </w:r>
          </w:p>
        </w:tc>
        <w:tc>
          <w:tcPr>
            <w:tcW w:w="1701" w:type="dxa"/>
            <w:vAlign w:val="center"/>
          </w:tcPr>
          <w:p w14:paraId="63B87558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350.6 ± 237.3</w:t>
            </w:r>
          </w:p>
        </w:tc>
        <w:tc>
          <w:tcPr>
            <w:tcW w:w="1984" w:type="dxa"/>
            <w:vAlign w:val="center"/>
          </w:tcPr>
          <w:p w14:paraId="367AAD47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357.5 ± 236.4</w:t>
            </w:r>
          </w:p>
        </w:tc>
        <w:tc>
          <w:tcPr>
            <w:tcW w:w="2083" w:type="dxa"/>
            <w:vAlign w:val="center"/>
          </w:tcPr>
          <w:p w14:paraId="1B563D62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0.24</w:t>
            </w:r>
          </w:p>
        </w:tc>
      </w:tr>
      <w:tr w:rsidR="00A83099" w:rsidRPr="00475189" w14:paraId="0CAB7765" w14:textId="77777777" w:rsidTr="00FC15C5">
        <w:trPr>
          <w:gridAfter w:val="1"/>
          <w:wAfter w:w="11" w:type="dxa"/>
        </w:trPr>
        <w:tc>
          <w:tcPr>
            <w:tcW w:w="2122" w:type="dxa"/>
            <w:vAlign w:val="center"/>
          </w:tcPr>
          <w:p w14:paraId="2CC0C6EB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MMP-9</w:t>
            </w:r>
          </w:p>
        </w:tc>
        <w:tc>
          <w:tcPr>
            <w:tcW w:w="1701" w:type="dxa"/>
            <w:vAlign w:val="center"/>
          </w:tcPr>
          <w:p w14:paraId="7A9BE86E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33.06 ± 17.8</w:t>
            </w:r>
          </w:p>
        </w:tc>
        <w:tc>
          <w:tcPr>
            <w:tcW w:w="1701" w:type="dxa"/>
            <w:vAlign w:val="center"/>
          </w:tcPr>
          <w:p w14:paraId="4A30B39B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31.29 ± 6.1</w:t>
            </w:r>
          </w:p>
        </w:tc>
        <w:tc>
          <w:tcPr>
            <w:tcW w:w="1984" w:type="dxa"/>
            <w:vAlign w:val="center"/>
          </w:tcPr>
          <w:p w14:paraId="49670DA9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15.82 ± 10.2</w:t>
            </w:r>
          </w:p>
        </w:tc>
        <w:tc>
          <w:tcPr>
            <w:tcW w:w="2083" w:type="dxa"/>
            <w:vAlign w:val="center"/>
          </w:tcPr>
          <w:p w14:paraId="1183E9C2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0.054</w:t>
            </w:r>
          </w:p>
        </w:tc>
      </w:tr>
      <w:tr w:rsidR="00A83099" w:rsidRPr="00475189" w14:paraId="7FAF53B6" w14:textId="77777777" w:rsidTr="00FC15C5">
        <w:trPr>
          <w:gridAfter w:val="1"/>
          <w:wAfter w:w="11" w:type="dxa"/>
        </w:trPr>
        <w:tc>
          <w:tcPr>
            <w:tcW w:w="2122" w:type="dxa"/>
            <w:vAlign w:val="center"/>
          </w:tcPr>
          <w:p w14:paraId="29100ED9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MMP-2</w:t>
            </w:r>
          </w:p>
        </w:tc>
        <w:tc>
          <w:tcPr>
            <w:tcW w:w="1701" w:type="dxa"/>
            <w:vAlign w:val="center"/>
          </w:tcPr>
          <w:p w14:paraId="6816544D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3.83 ± 1.2</w:t>
            </w:r>
          </w:p>
        </w:tc>
        <w:tc>
          <w:tcPr>
            <w:tcW w:w="1701" w:type="dxa"/>
            <w:vAlign w:val="center"/>
          </w:tcPr>
          <w:p w14:paraId="3BACF407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8.83 ± 3.3</w:t>
            </w:r>
          </w:p>
        </w:tc>
        <w:tc>
          <w:tcPr>
            <w:tcW w:w="1984" w:type="dxa"/>
            <w:vAlign w:val="center"/>
          </w:tcPr>
          <w:p w14:paraId="751A7327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4.16 ± 1.8</w:t>
            </w:r>
          </w:p>
        </w:tc>
        <w:tc>
          <w:tcPr>
            <w:tcW w:w="2083" w:type="dxa"/>
            <w:vAlign w:val="center"/>
          </w:tcPr>
          <w:p w14:paraId="12C08B5E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0.002**</w:t>
            </w:r>
          </w:p>
        </w:tc>
      </w:tr>
      <w:tr w:rsidR="00A83099" w:rsidRPr="00475189" w14:paraId="0F27EA78" w14:textId="77777777" w:rsidTr="00FC15C5">
        <w:tc>
          <w:tcPr>
            <w:tcW w:w="9602" w:type="dxa"/>
            <w:gridSpan w:val="6"/>
            <w:shd w:val="clear" w:color="auto" w:fill="D0CECE" w:themeFill="background2" w:themeFillShade="E6"/>
            <w:vAlign w:val="center"/>
          </w:tcPr>
          <w:p w14:paraId="042B60A9" w14:textId="2DF2DA40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Cytokin</w:t>
            </w:r>
            <w:r w:rsidR="00AF2D99" w:rsidRPr="00475189">
              <w:rPr>
                <w:rFonts w:ascii="Arial" w:hAnsi="Arial" w:cs="Arial"/>
                <w:lang w:val="en-GB"/>
              </w:rPr>
              <w:t>e/Chemokine L</w:t>
            </w:r>
            <w:r w:rsidRPr="00475189">
              <w:rPr>
                <w:rFonts w:ascii="Arial" w:hAnsi="Arial" w:cs="Arial"/>
                <w:lang w:val="en-GB"/>
              </w:rPr>
              <w:t xml:space="preserve">evel in </w:t>
            </w:r>
            <w:r w:rsidR="00AF2D99" w:rsidRPr="00475189">
              <w:rPr>
                <w:rFonts w:ascii="Arial" w:hAnsi="Arial" w:cs="Arial"/>
                <w:lang w:val="en-GB"/>
              </w:rPr>
              <w:t>C</w:t>
            </w:r>
            <w:r w:rsidRPr="00475189">
              <w:rPr>
                <w:rFonts w:ascii="Arial" w:hAnsi="Arial" w:cs="Arial"/>
                <w:lang w:val="en-GB"/>
              </w:rPr>
              <w:t xml:space="preserve">hronic </w:t>
            </w:r>
            <w:r w:rsidR="00C623B3">
              <w:rPr>
                <w:rFonts w:ascii="Arial" w:hAnsi="Arial" w:cs="Arial"/>
                <w:lang w:val="en-GB"/>
              </w:rPr>
              <w:t>State</w:t>
            </w:r>
            <w:r w:rsidRPr="00475189">
              <w:rPr>
                <w:rFonts w:ascii="Arial" w:hAnsi="Arial" w:cs="Arial"/>
                <w:lang w:val="en-GB"/>
              </w:rPr>
              <w:t xml:space="preserve"> (4 weeks)</w:t>
            </w:r>
          </w:p>
        </w:tc>
      </w:tr>
      <w:tr w:rsidR="00A83099" w:rsidRPr="00475189" w14:paraId="4C0CCB96" w14:textId="77777777" w:rsidTr="00FC15C5">
        <w:trPr>
          <w:gridAfter w:val="1"/>
          <w:wAfter w:w="11" w:type="dxa"/>
        </w:trPr>
        <w:tc>
          <w:tcPr>
            <w:tcW w:w="2122" w:type="dxa"/>
            <w:vAlign w:val="center"/>
          </w:tcPr>
          <w:p w14:paraId="095AC47B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Il1β</w:t>
            </w:r>
          </w:p>
        </w:tc>
        <w:tc>
          <w:tcPr>
            <w:tcW w:w="1701" w:type="dxa"/>
            <w:vAlign w:val="center"/>
          </w:tcPr>
          <w:p w14:paraId="7A304FB6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1363 ± 1408</w:t>
            </w:r>
          </w:p>
        </w:tc>
        <w:tc>
          <w:tcPr>
            <w:tcW w:w="1701" w:type="dxa"/>
            <w:vAlign w:val="center"/>
          </w:tcPr>
          <w:p w14:paraId="2A6EFFB1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3461 ± 2986</w:t>
            </w:r>
          </w:p>
        </w:tc>
        <w:tc>
          <w:tcPr>
            <w:tcW w:w="1984" w:type="dxa"/>
            <w:vAlign w:val="center"/>
          </w:tcPr>
          <w:p w14:paraId="7F53E577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1551 ± 1056</w:t>
            </w:r>
          </w:p>
        </w:tc>
        <w:tc>
          <w:tcPr>
            <w:tcW w:w="2083" w:type="dxa"/>
            <w:vAlign w:val="center"/>
          </w:tcPr>
          <w:p w14:paraId="509700F6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0.17</w:t>
            </w:r>
          </w:p>
        </w:tc>
      </w:tr>
      <w:tr w:rsidR="00A83099" w:rsidRPr="00475189" w14:paraId="1E812670" w14:textId="77777777" w:rsidTr="00FC15C5">
        <w:trPr>
          <w:gridAfter w:val="1"/>
          <w:wAfter w:w="11" w:type="dxa"/>
        </w:trPr>
        <w:tc>
          <w:tcPr>
            <w:tcW w:w="2122" w:type="dxa"/>
            <w:vAlign w:val="center"/>
          </w:tcPr>
          <w:p w14:paraId="21EB1AC0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Il6</w:t>
            </w:r>
          </w:p>
        </w:tc>
        <w:tc>
          <w:tcPr>
            <w:tcW w:w="1701" w:type="dxa"/>
            <w:vAlign w:val="center"/>
          </w:tcPr>
          <w:p w14:paraId="536E08BF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652 ±233.2</w:t>
            </w:r>
          </w:p>
        </w:tc>
        <w:tc>
          <w:tcPr>
            <w:tcW w:w="1701" w:type="dxa"/>
            <w:vAlign w:val="center"/>
          </w:tcPr>
          <w:p w14:paraId="3F526ECA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431.4 ±116.8</w:t>
            </w:r>
          </w:p>
        </w:tc>
        <w:tc>
          <w:tcPr>
            <w:tcW w:w="1984" w:type="dxa"/>
            <w:vAlign w:val="center"/>
          </w:tcPr>
          <w:p w14:paraId="58710855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652 ± 233.2</w:t>
            </w:r>
          </w:p>
        </w:tc>
        <w:tc>
          <w:tcPr>
            <w:tcW w:w="2083" w:type="dxa"/>
            <w:vAlign w:val="center"/>
          </w:tcPr>
          <w:p w14:paraId="035993A0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0.03*</w:t>
            </w:r>
          </w:p>
        </w:tc>
      </w:tr>
      <w:tr w:rsidR="00A83099" w:rsidRPr="00475189" w14:paraId="3D04A3FA" w14:textId="77777777" w:rsidTr="00FC15C5">
        <w:trPr>
          <w:gridAfter w:val="1"/>
          <w:wAfter w:w="11" w:type="dxa"/>
        </w:trPr>
        <w:tc>
          <w:tcPr>
            <w:tcW w:w="2122" w:type="dxa"/>
            <w:vAlign w:val="center"/>
          </w:tcPr>
          <w:p w14:paraId="5BAC4AD6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VEGF</w:t>
            </w:r>
          </w:p>
        </w:tc>
        <w:tc>
          <w:tcPr>
            <w:tcW w:w="1701" w:type="dxa"/>
            <w:vAlign w:val="center"/>
          </w:tcPr>
          <w:p w14:paraId="7BBFDDC3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795.7 ± 1120</w:t>
            </w:r>
          </w:p>
        </w:tc>
        <w:tc>
          <w:tcPr>
            <w:tcW w:w="1701" w:type="dxa"/>
            <w:vAlign w:val="center"/>
          </w:tcPr>
          <w:p w14:paraId="0AAB82DF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525.6 ± 417.4</w:t>
            </w:r>
          </w:p>
        </w:tc>
        <w:tc>
          <w:tcPr>
            <w:tcW w:w="1984" w:type="dxa"/>
            <w:vAlign w:val="center"/>
          </w:tcPr>
          <w:p w14:paraId="70C85064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899 ± 789.6</w:t>
            </w:r>
          </w:p>
        </w:tc>
        <w:tc>
          <w:tcPr>
            <w:tcW w:w="2083" w:type="dxa"/>
            <w:vAlign w:val="center"/>
          </w:tcPr>
          <w:p w14:paraId="4FC1130C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0.76</w:t>
            </w:r>
          </w:p>
        </w:tc>
      </w:tr>
      <w:tr w:rsidR="00A83099" w:rsidRPr="00475189" w14:paraId="7F6DC161" w14:textId="77777777" w:rsidTr="00FC15C5">
        <w:trPr>
          <w:gridAfter w:val="1"/>
          <w:wAfter w:w="11" w:type="dxa"/>
        </w:trPr>
        <w:tc>
          <w:tcPr>
            <w:tcW w:w="2122" w:type="dxa"/>
            <w:vAlign w:val="center"/>
          </w:tcPr>
          <w:p w14:paraId="761387E2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MMP-9</w:t>
            </w:r>
          </w:p>
        </w:tc>
        <w:tc>
          <w:tcPr>
            <w:tcW w:w="1701" w:type="dxa"/>
            <w:vAlign w:val="center"/>
          </w:tcPr>
          <w:p w14:paraId="6650CFAD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5.56 ± 4.0</w:t>
            </w:r>
          </w:p>
        </w:tc>
        <w:tc>
          <w:tcPr>
            <w:tcW w:w="1701" w:type="dxa"/>
            <w:vAlign w:val="center"/>
          </w:tcPr>
          <w:p w14:paraId="453C1350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14.21 ± 10.6</w:t>
            </w:r>
          </w:p>
        </w:tc>
        <w:tc>
          <w:tcPr>
            <w:tcW w:w="1984" w:type="dxa"/>
            <w:vAlign w:val="center"/>
          </w:tcPr>
          <w:p w14:paraId="2CBDBA62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12.74 ± 5.1</w:t>
            </w:r>
          </w:p>
        </w:tc>
        <w:tc>
          <w:tcPr>
            <w:tcW w:w="2083" w:type="dxa"/>
            <w:vAlign w:val="center"/>
          </w:tcPr>
          <w:p w14:paraId="05A3FEAC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0.17</w:t>
            </w:r>
          </w:p>
        </w:tc>
      </w:tr>
      <w:tr w:rsidR="00A83099" w:rsidRPr="00475189" w14:paraId="357BC193" w14:textId="77777777" w:rsidTr="00FC15C5">
        <w:trPr>
          <w:gridAfter w:val="1"/>
          <w:wAfter w:w="11" w:type="dxa"/>
        </w:trPr>
        <w:tc>
          <w:tcPr>
            <w:tcW w:w="2122" w:type="dxa"/>
            <w:vAlign w:val="center"/>
          </w:tcPr>
          <w:p w14:paraId="30A0AF95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MMP-2</w:t>
            </w:r>
          </w:p>
        </w:tc>
        <w:tc>
          <w:tcPr>
            <w:tcW w:w="1701" w:type="dxa"/>
            <w:vAlign w:val="center"/>
          </w:tcPr>
          <w:p w14:paraId="1F7CBF06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10.31 ± 4.7</w:t>
            </w:r>
          </w:p>
        </w:tc>
        <w:tc>
          <w:tcPr>
            <w:tcW w:w="1701" w:type="dxa"/>
            <w:vAlign w:val="center"/>
          </w:tcPr>
          <w:p w14:paraId="0FB8FF22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9.46 ± 4.7</w:t>
            </w:r>
          </w:p>
        </w:tc>
        <w:tc>
          <w:tcPr>
            <w:tcW w:w="1984" w:type="dxa"/>
            <w:vAlign w:val="center"/>
          </w:tcPr>
          <w:p w14:paraId="4720666F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15.73 ± 3.3</w:t>
            </w:r>
          </w:p>
        </w:tc>
        <w:tc>
          <w:tcPr>
            <w:tcW w:w="2083" w:type="dxa"/>
            <w:vAlign w:val="center"/>
          </w:tcPr>
          <w:p w14:paraId="41069B2C" w14:textId="77777777" w:rsidR="00A83099" w:rsidRPr="00475189" w:rsidRDefault="00A83099" w:rsidP="00FC15C5">
            <w:pPr>
              <w:jc w:val="center"/>
              <w:rPr>
                <w:rFonts w:ascii="Arial" w:hAnsi="Arial" w:cs="Arial"/>
                <w:lang w:val="en-GB"/>
              </w:rPr>
            </w:pPr>
            <w:r w:rsidRPr="00475189">
              <w:rPr>
                <w:rFonts w:ascii="Arial" w:hAnsi="Arial" w:cs="Arial"/>
                <w:lang w:val="en-GB"/>
              </w:rPr>
              <w:t>0.047*</w:t>
            </w:r>
          </w:p>
        </w:tc>
      </w:tr>
    </w:tbl>
    <w:p w14:paraId="67BDEF07" w14:textId="77777777" w:rsidR="00A83099" w:rsidRPr="00475189" w:rsidRDefault="00A83099" w:rsidP="00A83099">
      <w:pPr>
        <w:rPr>
          <w:rFonts w:ascii="Arial" w:hAnsi="Arial" w:cs="Arial"/>
          <w:sz w:val="24"/>
          <w:szCs w:val="24"/>
          <w:lang w:val="en-GB"/>
        </w:rPr>
      </w:pPr>
    </w:p>
    <w:p w14:paraId="6D1148FD" w14:textId="77777777" w:rsidR="00AF2D99" w:rsidRPr="00475189" w:rsidRDefault="00AF2D99" w:rsidP="007A7F0E">
      <w:pPr>
        <w:spacing w:after="120" w:line="48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24905C1E" w14:textId="77777777" w:rsidR="00AF2D99" w:rsidRPr="00475189" w:rsidRDefault="00AF2D99" w:rsidP="007A7F0E">
      <w:pPr>
        <w:spacing w:after="120" w:line="48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6C83299A" w14:textId="77777777" w:rsidR="00AF2D99" w:rsidRPr="00475189" w:rsidRDefault="00AF2D99" w:rsidP="007A7F0E">
      <w:pPr>
        <w:spacing w:after="120" w:line="48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35CEDDDD" w14:textId="512AA830" w:rsidR="006C33DE" w:rsidRPr="00475189" w:rsidRDefault="006C33DE" w:rsidP="007A7F0E">
      <w:pPr>
        <w:spacing w:after="120" w:line="480" w:lineRule="auto"/>
        <w:rPr>
          <w:rFonts w:ascii="Arial" w:hAnsi="Arial" w:cs="Arial"/>
          <w:b/>
          <w:sz w:val="24"/>
          <w:szCs w:val="24"/>
          <w:lang w:val="en-GB"/>
        </w:rPr>
      </w:pPr>
      <w:r w:rsidRPr="00475189">
        <w:rPr>
          <w:rFonts w:ascii="Arial" w:hAnsi="Arial" w:cs="Arial"/>
          <w:b/>
          <w:sz w:val="24"/>
          <w:szCs w:val="24"/>
          <w:lang w:val="en-GB"/>
        </w:rPr>
        <w:t>Reference</w:t>
      </w:r>
    </w:p>
    <w:p w14:paraId="2B3900D4" w14:textId="77777777" w:rsidR="00901E01" w:rsidRPr="00901E01" w:rsidRDefault="004200BF" w:rsidP="00901E01">
      <w:pPr>
        <w:pStyle w:val="EndNoteBibliography"/>
        <w:ind w:left="720" w:hanging="720"/>
      </w:pPr>
      <w:r w:rsidRPr="00475189">
        <w:rPr>
          <w:rFonts w:ascii="Arial" w:hAnsi="Arial" w:cs="Arial"/>
        </w:rPr>
        <w:fldChar w:fldCharType="begin"/>
      </w:r>
      <w:r w:rsidRPr="00475189">
        <w:rPr>
          <w:rFonts w:ascii="Arial" w:hAnsi="Arial" w:cs="Arial"/>
        </w:rPr>
        <w:instrText xml:space="preserve"> ADDIN EN.REFLIST </w:instrText>
      </w:r>
      <w:r w:rsidRPr="00475189">
        <w:rPr>
          <w:rFonts w:ascii="Arial" w:hAnsi="Arial" w:cs="Arial"/>
        </w:rPr>
        <w:fldChar w:fldCharType="separate"/>
      </w:r>
      <w:bookmarkStart w:id="3" w:name="_ENREF_1"/>
      <w:r w:rsidR="00901E01" w:rsidRPr="00901E01">
        <w:t xml:space="preserve">1. Marbacher S, Marjamaa J, Bradacova K, et al. Loss of mural cells leads to wall degeneration, aneurysm growth, and eventual rupture in a rat aneurysm model. </w:t>
      </w:r>
      <w:r w:rsidR="00901E01" w:rsidRPr="00901E01">
        <w:rPr>
          <w:i/>
        </w:rPr>
        <w:t>Stroke</w:t>
      </w:r>
      <w:r w:rsidR="00901E01" w:rsidRPr="00901E01">
        <w:t xml:space="preserve"> 2014;45:248-54.</w:t>
      </w:r>
      <w:bookmarkEnd w:id="3"/>
    </w:p>
    <w:p w14:paraId="3BB93A17" w14:textId="7F639ADD" w:rsidR="0021320A" w:rsidRPr="00475189" w:rsidRDefault="004200BF" w:rsidP="00D171C8">
      <w:pPr>
        <w:pStyle w:val="EndNoteBibliography"/>
        <w:ind w:left="720" w:hanging="720"/>
        <w:rPr>
          <w:rFonts w:ascii="Arial" w:hAnsi="Arial" w:cs="Arial"/>
        </w:rPr>
      </w:pPr>
      <w:r w:rsidRPr="00475189">
        <w:rPr>
          <w:rFonts w:ascii="Arial" w:hAnsi="Arial" w:cs="Arial"/>
        </w:rPr>
        <w:fldChar w:fldCharType="end"/>
      </w:r>
    </w:p>
    <w:sectPr w:rsidR="0021320A" w:rsidRPr="00475189" w:rsidSect="00C824A7">
      <w:pgSz w:w="12240" w:h="15840" w:code="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90fzavfk5fvs8eaftovtp2lsvf9stt2r9sd&quot;&gt;AVM_Basil&lt;record-ids&gt;&lt;item&gt;1665&lt;/item&gt;&lt;/record-ids&gt;&lt;/item&gt;&lt;/Libraries&gt;"/>
  </w:docVars>
  <w:rsids>
    <w:rsidRoot w:val="006C33DE"/>
    <w:rsid w:val="00085C3B"/>
    <w:rsid w:val="0014560E"/>
    <w:rsid w:val="001A447C"/>
    <w:rsid w:val="002F1E55"/>
    <w:rsid w:val="0041483E"/>
    <w:rsid w:val="004200BF"/>
    <w:rsid w:val="00436276"/>
    <w:rsid w:val="00462AE7"/>
    <w:rsid w:val="00475189"/>
    <w:rsid w:val="00480878"/>
    <w:rsid w:val="004B6830"/>
    <w:rsid w:val="0050571A"/>
    <w:rsid w:val="005C49EE"/>
    <w:rsid w:val="00621D81"/>
    <w:rsid w:val="0067479C"/>
    <w:rsid w:val="006C33DE"/>
    <w:rsid w:val="00785076"/>
    <w:rsid w:val="007A7F0E"/>
    <w:rsid w:val="008102C6"/>
    <w:rsid w:val="008552D8"/>
    <w:rsid w:val="0086387A"/>
    <w:rsid w:val="008666B8"/>
    <w:rsid w:val="00901E01"/>
    <w:rsid w:val="00944577"/>
    <w:rsid w:val="00954B85"/>
    <w:rsid w:val="009B1F5B"/>
    <w:rsid w:val="00A83099"/>
    <w:rsid w:val="00AF2D99"/>
    <w:rsid w:val="00B05DBF"/>
    <w:rsid w:val="00B277BC"/>
    <w:rsid w:val="00B30005"/>
    <w:rsid w:val="00B334FB"/>
    <w:rsid w:val="00B44A05"/>
    <w:rsid w:val="00BA22D2"/>
    <w:rsid w:val="00BD57D4"/>
    <w:rsid w:val="00C31E3E"/>
    <w:rsid w:val="00C619B5"/>
    <w:rsid w:val="00C623B3"/>
    <w:rsid w:val="00C824A7"/>
    <w:rsid w:val="00D11083"/>
    <w:rsid w:val="00D14562"/>
    <w:rsid w:val="00D14850"/>
    <w:rsid w:val="00D171C8"/>
    <w:rsid w:val="00D45815"/>
    <w:rsid w:val="00D717AE"/>
    <w:rsid w:val="00D90DFA"/>
    <w:rsid w:val="00E20D75"/>
    <w:rsid w:val="00E562E5"/>
    <w:rsid w:val="00F96683"/>
    <w:rsid w:val="00F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25BC3D"/>
  <w15:chartTrackingRefBased/>
  <w15:docId w15:val="{DF0DAC75-781A-4253-9AB4-54B1894C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C33DE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link w:val="StandardWebZchn"/>
    <w:uiPriority w:val="99"/>
    <w:semiHidden/>
    <w:unhideWhenUsed/>
    <w:rsid w:val="006C33DE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6C33D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33DE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Standard"/>
    <w:link w:val="EndNoteBibliographyTitleZchn"/>
    <w:rsid w:val="00D171C8"/>
    <w:pPr>
      <w:spacing w:after="0"/>
      <w:jc w:val="center"/>
    </w:pPr>
    <w:rPr>
      <w:rFonts w:ascii="Calibri" w:hAnsi="Calibri" w:cs="Calibri"/>
      <w:noProof/>
    </w:rPr>
  </w:style>
  <w:style w:type="character" w:customStyle="1" w:styleId="StandardWebZchn">
    <w:name w:val="Standard (Web) Zchn"/>
    <w:basedOn w:val="Absatz-Standardschriftart"/>
    <w:link w:val="StandardWeb"/>
    <w:uiPriority w:val="99"/>
    <w:semiHidden/>
    <w:rsid w:val="00D171C8"/>
    <w:rPr>
      <w:rFonts w:ascii="Calibri" w:eastAsiaTheme="minorEastAsia" w:hAnsi="Calibri" w:cs="Calibri"/>
      <w:lang w:eastAsia="de-DE"/>
    </w:rPr>
  </w:style>
  <w:style w:type="character" w:customStyle="1" w:styleId="EndNoteBibliographyTitleZchn">
    <w:name w:val="EndNote Bibliography Title Zchn"/>
    <w:basedOn w:val="StandardWebZchn"/>
    <w:link w:val="EndNoteBibliographyTitle"/>
    <w:rsid w:val="00D171C8"/>
    <w:rPr>
      <w:rFonts w:ascii="Calibri" w:eastAsiaTheme="minorEastAsia" w:hAnsi="Calibri" w:cs="Calibri"/>
      <w:noProof/>
      <w:lang w:eastAsia="de-DE"/>
    </w:rPr>
  </w:style>
  <w:style w:type="paragraph" w:customStyle="1" w:styleId="EndNoteBibliography">
    <w:name w:val="EndNote Bibliography"/>
    <w:basedOn w:val="Standard"/>
    <w:link w:val="EndNoteBibliographyZchn"/>
    <w:rsid w:val="00D171C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Zchn">
    <w:name w:val="EndNote Bibliography Zchn"/>
    <w:basedOn w:val="StandardWebZchn"/>
    <w:link w:val="EndNoteBibliography"/>
    <w:rsid w:val="00D171C8"/>
    <w:rPr>
      <w:rFonts w:ascii="Calibri" w:eastAsiaTheme="minorEastAsia" w:hAnsi="Calibri" w:cs="Calibri"/>
      <w:noProof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0DF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D90DFA"/>
    <w:pPr>
      <w:spacing w:line="240" w:lineRule="auto"/>
    </w:pPr>
    <w:rPr>
      <w:rFonts w:eastAsiaTheme="minorHAnsi"/>
      <w:sz w:val="24"/>
      <w:szCs w:val="24"/>
      <w:lang w:val="de-CH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90DFA"/>
    <w:rPr>
      <w:sz w:val="24"/>
      <w:szCs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DFA"/>
    <w:rPr>
      <w:rFonts w:ascii="Segoe UI" w:eastAsiaTheme="minorEastAsia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A83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A2574-213D-4BEE-AE7D-E603FD14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1100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 Grüter</dc:creator>
  <cp:keywords/>
  <dc:description/>
  <cp:lastModifiedBy>Basil Grüter</cp:lastModifiedBy>
  <cp:revision>3</cp:revision>
  <cp:lastPrinted>2018-07-02T20:41:00Z</cp:lastPrinted>
  <dcterms:created xsi:type="dcterms:W3CDTF">2019-01-27T14:31:00Z</dcterms:created>
  <dcterms:modified xsi:type="dcterms:W3CDTF">2019-01-27T20:53:00Z</dcterms:modified>
</cp:coreProperties>
</file>