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Mechanical thrombectomy for basilar artery occlusion: efficacy, outcomes and futile recanalization in comparison with the anterior circulation 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Running title: Thrombectomy in posterior circulation large vessel occlusion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ONLINE SUPPLEMENT</w:t>
      </w:r>
    </w:p>
    <w:p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br w:type="page"/>
      </w:r>
    </w:p>
    <w:p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Supplementary Tables</w:t>
      </w:r>
    </w:p>
    <w:p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 Table 1 – </w:t>
      </w:r>
      <w:r>
        <w:rPr>
          <w:rFonts w:ascii="Times New Roman" w:hAnsi="Times New Roman" w:cs="Times New Roman"/>
          <w:sz w:val="24"/>
          <w:szCs w:val="24"/>
          <w:lang w:val="en-US"/>
        </w:rPr>
        <w:t>BEYOND-SWIFT overview</w:t>
      </w:r>
    </w:p>
    <w:tbl>
      <w:tblPr>
        <w:tblStyle w:val="Tabellenraster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708"/>
        <w:gridCol w:w="851"/>
        <w:gridCol w:w="709"/>
        <w:gridCol w:w="992"/>
        <w:gridCol w:w="1134"/>
        <w:gridCol w:w="1134"/>
        <w:gridCol w:w="1417"/>
        <w:gridCol w:w="1560"/>
        <w:gridCol w:w="2126"/>
        <w:gridCol w:w="1134"/>
        <w:gridCol w:w="850"/>
        <w:gridCol w:w="1276"/>
      </w:tblGrid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Center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Time period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it-IT"/>
              </w:rPr>
              <w:t>LVO Posterior Circulation (VA, BA, P1, P2)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Lost to follow-up (mRS day 90)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fr-CH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fr-CH"/>
              </w:rPr>
              <w:t>ASPECTS available (LVO anterior circulation)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fr-CH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fr-CH"/>
              </w:rPr>
              <w:t>pcASPECTS available (LVO posterior circulation)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% MRI as initial imaging modality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ASPECTS grading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Admission and 24h NIHSS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mRS at 90 days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mTICI grading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EC approval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Responsible EC</w:t>
            </w:r>
          </w:p>
        </w:tc>
      </w:tr>
      <w:tr>
        <w:tc>
          <w:tcPr>
            <w:tcW w:w="1419" w:type="dxa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Inselspital Bern, University Hospital Bern, University of Bern, Bern, Switzerland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966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2010-2017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7.8% (75/966)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  <w:t>BAO 62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5.6% (54/966)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863/888 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80% (60/75)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50.6% (487/963)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Research fellow blinded to clinical data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Stroke neurologists on scheduled clinical visits.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Structured telephone interviews if the patient was unable to attend (either by physician or mRS certified stroke nurse).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Operator-measured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Kantonale Ethik Kommission Bern 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Toronto Western Hospital - University Health Network, University of Toronto, Toronto, Canada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2014-2017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11.7% (7/60)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BAO 7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(0/60)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53/53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(0/7)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1.7% (1/60)</w:t>
            </w:r>
          </w:p>
        </w:tc>
        <w:tc>
          <w:tcPr>
            <w:tcW w:w="1417" w:type="dxa"/>
          </w:tcPr>
          <w:p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Prospective, by </w:t>
            </w:r>
          </w:p>
          <w:p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neuroradiologist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Clinical visits at the university hospital. For patients still in rehabilitation facilities, a mRS certified nurse schedules telephone interviews. 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Operator-measured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IRB Toronto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Klinikum rechts der Isar, Technical University Munich, Munich, Germany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2009-2017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24.8% (51/206)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BAO 46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18.4% (38/206)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151/153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(0/51)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2.4% (5/206)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Rerospective by neuroradiologist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mRS was evaluated either by face-to-face assessments (by stroke neurologists) or standardized telephone interviews (by certified study nurses).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Operator 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Ethikkommission der medizinischen Fakultät der Technischen Universität München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University Hospital Vall d'Hebron, Barcelona, Spain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2010-2017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11.0% (46/418)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  <w:t>BAO 34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20.0% (84/419)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319/360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(0/46)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(0/491)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Prospective, by neurologist/neuroradiologist on call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Stroke neurologists on scheduled clinical visits.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Structured telephone interviews if unable to attend.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Operator 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CEIC H. Vall d‘Hebrond</w:t>
            </w:r>
          </w:p>
        </w:tc>
      </w:tr>
      <w:tr>
        <w:tc>
          <w:tcPr>
            <w:tcW w:w="1419" w:type="dxa"/>
          </w:tcPr>
          <w:p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CHUV, Lausanne University Hospital, Lausanne, Switzerland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2012-2017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10.1%(14/139)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  <w:t>BAO 2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26.6% (37/139)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113/124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(0/14)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0.1% (1/139)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Consensus stroke neurologist and neuroradiologist (not blinded)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mRs was assessed by Rankin-certified physicians at 3 months in the outpatient clinic, or alternatively through a structured telephone interview by Rankin-certified personnel.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Operator-measured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fr-CH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fr-CH"/>
              </w:rPr>
              <w:t xml:space="preserve">Commission Ethique de Recherche, Canton de Vaud 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Montpellier CHU, University Hospital Montpellier, Montpellier, France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2015-2017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2.7% (4/149)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  <w:t>BAO 4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4.0% (6/149)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109/145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0% (0/4)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82.1% (96/117)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Operator-measured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Stroke neurologists on scheduled clinical visits.</w:t>
            </w: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Structured telephone interviews if unable to attend.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Operator-measured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fr-CH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fr-FR"/>
              </w:rPr>
              <w:t>CNIL Comité National Informatique et Liberté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CHU Reims, University Hospital Reims, Reims, France</w:t>
            </w:r>
          </w:p>
        </w:tc>
        <w:tc>
          <w:tcPr>
            <w:tcW w:w="56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08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2013 - 2017</w:t>
            </w:r>
          </w:p>
        </w:tc>
        <w:tc>
          <w:tcPr>
            <w:tcW w:w="851" w:type="dxa"/>
          </w:tcPr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9.3% (10/108)</w:t>
            </w:r>
          </w:p>
          <w:p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BAO 10</w:t>
            </w:r>
          </w:p>
        </w:tc>
        <w:tc>
          <w:tcPr>
            <w:tcW w:w="709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0% (0/108)</w:t>
            </w:r>
          </w:p>
        </w:tc>
        <w:tc>
          <w:tcPr>
            <w:tcW w:w="992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96/98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 (0/10)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92.6% (100/108)</w:t>
            </w:r>
          </w:p>
        </w:tc>
        <w:tc>
          <w:tcPr>
            <w:tcW w:w="1417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Retrospective, certified neuroradiologist</w:t>
            </w:r>
          </w:p>
        </w:tc>
        <w:tc>
          <w:tcPr>
            <w:tcW w:w="156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Board certified stroke neurologists</w:t>
            </w:r>
          </w:p>
        </w:tc>
        <w:tc>
          <w:tcPr>
            <w:tcW w:w="212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Stroke physician on clinical visits at university hospital or remote outpatient center.</w:t>
            </w:r>
          </w:p>
        </w:tc>
        <w:tc>
          <w:tcPr>
            <w:tcW w:w="1134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Retrospective, certified neuroradiologist</w:t>
            </w:r>
          </w:p>
        </w:tc>
        <w:tc>
          <w:tcPr>
            <w:tcW w:w="850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Yes*</w:t>
            </w:r>
          </w:p>
        </w:tc>
        <w:tc>
          <w:tcPr>
            <w:tcW w:w="1276" w:type="dxa"/>
          </w:tcPr>
          <w:p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IRB Reims University Hospital, Champagne-Ardenne University. </w:t>
            </w:r>
          </w:p>
        </w:tc>
      </w:tr>
      <w:tr>
        <w:tc>
          <w:tcPr>
            <w:tcW w:w="1419" w:type="dxa"/>
          </w:tcPr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Total</w:t>
            </w:r>
          </w:p>
        </w:tc>
        <w:tc>
          <w:tcPr>
            <w:tcW w:w="14458" w:type="dxa"/>
            <w:gridSpan w:val="13"/>
          </w:tcPr>
          <w:p>
            <w:pPr>
              <w:contextualSpacing/>
              <w:rPr>
                <w:rStyle w:val="Kommentarzeichen"/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2046</w:t>
            </w:r>
          </w:p>
        </w:tc>
      </w:tr>
      <w:tr>
        <w:tc>
          <w:tcPr>
            <w:tcW w:w="15877" w:type="dxa"/>
            <w:gridSpan w:val="14"/>
          </w:tcPr>
          <w:p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*Ethics committee votum was waived due to the entirely retrospective nature of data collection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  <w:sectPr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 Table 2</w:t>
      </w:r>
      <w:r>
        <w:rPr>
          <w:rFonts w:ascii="Times New Roman" w:hAnsi="Times New Roman" w:cs="Times New Roman"/>
          <w:lang w:val="en-US"/>
        </w:rPr>
        <w:t xml:space="preserve"> – Outcome data comparing patients with basilar artery occlusion and patients with large vessel occlusion in the anterior circulation.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554"/>
      </w:tblGrid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Outcome at day 90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MT of BAO (n=165)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MT of anterior circulation LVO (n=1574)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>
        <w:tc>
          <w:tcPr>
            <w:tcW w:w="2547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Modified Rankin Scale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4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(12.5%)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 (10.4%)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(12.5%)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 (16.8%)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 (11.2%)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 (15.6%)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(9.9%)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 (13.8%)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(10.5%)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 (13.1%)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(7.2%)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 (5.8%)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(36.2%)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 (24.4%)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outcomes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4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Mortality at three months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 (36.2%)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 (24.4%)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NIHSS at 24 hours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(3-30)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 (3-17)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0.083</w:t>
            </w:r>
          </w:p>
        </w:tc>
      </w:tr>
      <w:tr>
        <w:tc>
          <w:tcPr>
            <w:tcW w:w="2547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 hemorrhagical worsening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(17.6%)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 (8.6%)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0.008</w:t>
            </w:r>
          </w:p>
        </w:tc>
      </w:tr>
    </w:tbl>
    <w:p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LVO: large vessel occlusion, mTICI: Modified treatment in cerebral ischaemia, sICH: symptomatic intracranial hemorrhage according to European Co-operative Acute Stroke Study-II defition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 Table 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Cs w:val="24"/>
          <w:lang w:val="en-US"/>
        </w:rPr>
        <w:t>Baseline differences of patients with good and bad outcomes (only BAO, iICA, Carotid-T and M1)</w:t>
      </w:r>
    </w:p>
    <w:tbl>
      <w:tblPr>
        <w:tblStyle w:val="Tabellenraster"/>
        <w:tblW w:w="10568" w:type="dxa"/>
        <w:tblLook w:val="04A0" w:firstRow="1" w:lastRow="0" w:firstColumn="1" w:lastColumn="0" w:noHBand="0" w:noVBand="1"/>
      </w:tblPr>
      <w:tblGrid>
        <w:gridCol w:w="3539"/>
        <w:gridCol w:w="2635"/>
        <w:gridCol w:w="2835"/>
        <w:gridCol w:w="1559"/>
      </w:tblGrid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mRS 0-2 (N=659)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mRS 3-6 (N=902)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>
        <w:tc>
          <w:tcPr>
            <w:tcW w:w="353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items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(years)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 (57-77)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 (65-83)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Transfer from another hospital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 (33.0%)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 (37.6%)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Sex (female)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328 (49.8%)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451 (50.0%)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0.959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NIHSS on admission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 (9-18)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(14-22)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 stroke independence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649 (99.2%)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788 (88.2%)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Blood pressure systolic (mmHg)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 (SD 26)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 (SD30)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Blood pressure diastolic (mmHg)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 (SD 20)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 (SD 21)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0.416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Admission glucose (mmol/L)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6.4 (5.7-7.5)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6.9 (5.9-8.5)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Noticed symptom onset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567 (86.0%)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699 (77.5%)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Wake up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 (7.1%)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 (8.8%)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hospital stroke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 (2.7%)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 (2.3%)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0.626</w:t>
            </w:r>
          </w:p>
        </w:tc>
      </w:tr>
      <w:tr>
        <w:tc>
          <w:tcPr>
            <w:tcW w:w="353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Medication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Antiplatelet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mono</w:t>
            </w:r>
            <w:r>
              <w:rPr>
                <w:rFonts w:ascii="Times New Roman" w:hAnsi="Times New Roman" w:cs="Times New Roman"/>
                <w:lang w:val="en-US"/>
              </w:rPr>
              <w:br/>
              <w:t>- dual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159 (26.2%)</w:t>
            </w:r>
            <w:r>
              <w:rPr>
                <w:rFonts w:ascii="Times New Roman" w:hAnsi="Times New Roman" w:cs="Times New Roman"/>
                <w:lang w:val="en-US"/>
              </w:rPr>
              <w:br/>
              <w:t>10 (1.6%)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262 (31.5%)</w:t>
            </w:r>
            <w:r>
              <w:rPr>
                <w:rFonts w:ascii="Times New Roman" w:hAnsi="Times New Roman" w:cs="Times New Roman"/>
                <w:lang w:val="en-US"/>
              </w:rPr>
              <w:br/>
              <w:t>12 (1.4%)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0.095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Statin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 (27.0%)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 (31.3%)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0.093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Anticoagulation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none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VKA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NOAC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528 (87.1%)</w:t>
            </w:r>
            <w:r>
              <w:rPr>
                <w:rFonts w:ascii="Times New Roman" w:hAnsi="Times New Roman" w:cs="Times New Roman"/>
                <w:lang w:val="en-US"/>
              </w:rPr>
              <w:br/>
              <w:t>53 (8.7%)</w:t>
            </w:r>
            <w:r>
              <w:rPr>
                <w:rFonts w:ascii="Times New Roman" w:hAnsi="Times New Roman" w:cs="Times New Roman"/>
                <w:lang w:val="en-US"/>
              </w:rPr>
              <w:br/>
              <w:t>25 (4.1%)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698 (83.6%)</w:t>
            </w:r>
            <w:r>
              <w:rPr>
                <w:rFonts w:ascii="Times New Roman" w:hAnsi="Times New Roman" w:cs="Times New Roman"/>
                <w:lang w:val="en-US"/>
              </w:rPr>
              <w:br/>
              <w:t>103 (12.3%)</w:t>
            </w:r>
            <w:r>
              <w:rPr>
                <w:rFonts w:ascii="Times New Roman" w:hAnsi="Times New Roman" w:cs="Times New Roman"/>
                <w:lang w:val="en-US"/>
              </w:rPr>
              <w:br/>
              <w:t>34 (4.1%)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0.095</w:t>
            </w:r>
          </w:p>
        </w:tc>
      </w:tr>
      <w:tr>
        <w:tc>
          <w:tcPr>
            <w:tcW w:w="353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Risk factors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Diabetes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 (11.6%)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 (20.1%)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Arterial Hypertension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 (61.8%)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608 (68.2%)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Dyslipidemia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 (51.1%)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430 (48.6%)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0.353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 (33.3%)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 (24.4%)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Previous stroke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 (9.9%)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 (14.7%)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Coronary artery d</w:t>
            </w:r>
            <w:r>
              <w:rPr>
                <w:rFonts w:ascii="Times New Roman" w:hAnsi="Times New Roman" w:cs="Times New Roman"/>
              </w:rPr>
              <w:t>isease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 (17.3%)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 (23.6%)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0.012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TOAST etiology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large-artery</w:t>
            </w:r>
            <w:r>
              <w:rPr>
                <w:rFonts w:ascii="Times New Roman" w:hAnsi="Times New Roman" w:cs="Times New Roman"/>
                <w:lang w:val="en-US"/>
              </w:rPr>
              <w:br/>
              <w:t>- cardioembolic</w:t>
            </w:r>
            <w:r>
              <w:rPr>
                <w:rFonts w:ascii="Times New Roman" w:hAnsi="Times New Roman" w:cs="Times New Roman"/>
                <w:lang w:val="en-US"/>
              </w:rPr>
              <w:br/>
              <w:t>- other</w:t>
            </w:r>
            <w:r>
              <w:rPr>
                <w:rFonts w:ascii="Times New Roman" w:hAnsi="Times New Roman" w:cs="Times New Roman"/>
                <w:lang w:val="en-US"/>
              </w:rPr>
              <w:br/>
              <w:t>- unknown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96 (14.8%)</w:t>
            </w:r>
            <w:r>
              <w:rPr>
                <w:rFonts w:ascii="Times New Roman" w:hAnsi="Times New Roman" w:cs="Times New Roman"/>
                <w:lang w:val="en-US"/>
              </w:rPr>
              <w:br/>
              <w:t>284 (43.7%)</w:t>
            </w:r>
            <w:r>
              <w:rPr>
                <w:rFonts w:ascii="Times New Roman" w:hAnsi="Times New Roman" w:cs="Times New Roman"/>
                <w:lang w:val="en-US"/>
              </w:rPr>
              <w:br/>
              <w:t>52 (8.0%)</w:t>
            </w:r>
            <w:r>
              <w:rPr>
                <w:rFonts w:ascii="Times New Roman" w:hAnsi="Times New Roman" w:cs="Times New Roman"/>
                <w:lang w:val="en-US"/>
              </w:rPr>
              <w:br/>
              <w:t>218 (33.5%)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127 (14.3%)</w:t>
            </w:r>
            <w:r>
              <w:rPr>
                <w:rFonts w:ascii="Times New Roman" w:hAnsi="Times New Roman" w:cs="Times New Roman"/>
                <w:lang w:val="en-US"/>
              </w:rPr>
              <w:br/>
              <w:t>423 (47.5%)</w:t>
            </w:r>
            <w:r>
              <w:rPr>
                <w:rFonts w:ascii="Times New Roman" w:hAnsi="Times New Roman" w:cs="Times New Roman"/>
                <w:lang w:val="en-US"/>
              </w:rPr>
              <w:br/>
              <w:t>51 (5.7%)</w:t>
            </w:r>
            <w:r>
              <w:rPr>
                <w:rFonts w:ascii="Times New Roman" w:hAnsi="Times New Roman" w:cs="Times New Roman"/>
                <w:lang w:val="en-US"/>
              </w:rPr>
              <w:br/>
              <w:t>289 (32.5%)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0.232</w:t>
            </w:r>
          </w:p>
        </w:tc>
      </w:tr>
      <w:tr>
        <w:tc>
          <w:tcPr>
            <w:tcW w:w="353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Imaging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of imaging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MRI</w:t>
            </w:r>
            <w:r>
              <w:rPr>
                <w:rFonts w:ascii="Times New Roman" w:hAnsi="Times New Roman" w:cs="Times New Roman"/>
                <w:lang w:val="en-US"/>
              </w:rPr>
              <w:br/>
              <w:t>- CT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275 (42.6%)</w:t>
            </w:r>
            <w:r>
              <w:rPr>
                <w:rFonts w:ascii="Times New Roman" w:hAnsi="Times New Roman" w:cs="Times New Roman"/>
                <w:lang w:val="en-US"/>
              </w:rPr>
              <w:br/>
              <w:t>371 (57.4%)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294 (33.1%)</w:t>
            </w:r>
            <w:r>
              <w:rPr>
                <w:rFonts w:ascii="Times New Roman" w:hAnsi="Times New Roman" w:cs="Times New Roman"/>
                <w:lang w:val="en-US"/>
              </w:rPr>
              <w:br/>
              <w:t>593 (66.9%)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Collaterals</w:t>
            </w:r>
            <w:r>
              <w:rPr>
                <w:rFonts w:ascii="Times New Roman" w:hAnsi="Times New Roman" w:cs="Times New Roman"/>
                <w:lang w:val="en-US"/>
              </w:rPr>
              <w:br/>
              <w:t>- 0 (bad)</w:t>
            </w:r>
            <w:r>
              <w:rPr>
                <w:rFonts w:ascii="Times New Roman" w:hAnsi="Times New Roman" w:cs="Times New Roman"/>
                <w:lang w:val="en-US"/>
              </w:rPr>
              <w:br/>
              <w:t>- 1 (moderate)</w:t>
            </w: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 (good)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(10.3%)</w:t>
            </w:r>
            <w:r>
              <w:rPr>
                <w:rFonts w:ascii="Times New Roman" w:hAnsi="Times New Roman" w:cs="Times New Roman"/>
                <w:lang w:val="en-US"/>
              </w:rPr>
              <w:br/>
              <w:t>64 (34.8%)</w:t>
            </w:r>
            <w:r>
              <w:rPr>
                <w:rFonts w:ascii="Times New Roman" w:hAnsi="Times New Roman" w:cs="Times New Roman"/>
                <w:lang w:val="en-US"/>
              </w:rPr>
              <w:br/>
              <w:t>101 (54.9%)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br/>
              <w:t>79 (28.9%)</w:t>
            </w:r>
            <w:r>
              <w:rPr>
                <w:rFonts w:ascii="Times New Roman" w:hAnsi="Times New Roman" w:cs="Times New Roman"/>
                <w:lang w:val="en-US"/>
              </w:rPr>
              <w:br/>
              <w:t>101 (37.0%)</w:t>
            </w:r>
            <w:r>
              <w:rPr>
                <w:rFonts w:ascii="Times New Roman" w:hAnsi="Times New Roman" w:cs="Times New Roman"/>
                <w:lang w:val="en-US"/>
              </w:rPr>
              <w:br/>
              <w:t>93 (34.1%)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Dissection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 (4.4%)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 (3.3%)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0.285</w:t>
            </w:r>
          </w:p>
        </w:tc>
      </w:tr>
      <w:tr>
        <w:tc>
          <w:tcPr>
            <w:tcW w:w="353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Treatment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IVT use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 (55.4%)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406 (45.0%)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 from onset of symptoms to IVT needle (min)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 (85-165)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 (90-180)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0.110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 from onset of symptoms to admission (min)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 (69-227)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 (79-274)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>
        <w:tc>
          <w:tcPr>
            <w:tcW w:w="353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 from onset of symptoms to groin puncture (min)</w:t>
            </w:r>
          </w:p>
        </w:tc>
        <w:tc>
          <w:tcPr>
            <w:tcW w:w="26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 (160-302)</w:t>
            </w: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 (174-338)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</w:tbl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 Table 3 - </w:t>
      </w:r>
      <w:r>
        <w:rPr>
          <w:rFonts w:ascii="Times New Roman" w:hAnsi="Times New Roman" w:cs="Times New Roman"/>
          <w:lang w:val="en-US"/>
        </w:rPr>
        <w:t xml:space="preserve">Baseline characteristics comparing patients with favourable outcome (mRS 0-2) and patients with unfavourable outcome (mRS 3-6). </w:t>
      </w:r>
    </w:p>
    <w:p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NIHSS: National Institute of Health Stroke Scale, , TOAST: Trial of ORG 10172 in Acute Stroke Treatment, VKA: vitamin K antagonist, NOAC: non-vitamin K antagonist oral anticoagulants, VA: vertebral artery, BA: basilar artery, P1: first segment of posterior cerebral artery, P2: second segment of posterior cerebral artery, IVT: intravenous thrombolysis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 Table 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Outcome </w:t>
      </w:r>
      <w:r>
        <w:rPr>
          <w:rFonts w:ascii="Times New Roman" w:hAnsi="Times New Roman" w:cs="Times New Roman"/>
          <w:lang w:val="en-US"/>
        </w:rPr>
        <w:t xml:space="preserve">in BAO patients according to recanalization success. </w:t>
      </w:r>
    </w:p>
    <w:tbl>
      <w:tblPr>
        <w:tblStyle w:val="Tabellenraster"/>
        <w:tblW w:w="10905" w:type="dxa"/>
        <w:tblLook w:val="04A0" w:firstRow="1" w:lastRow="0" w:firstColumn="1" w:lastColumn="0" w:noHBand="0" w:noVBand="1"/>
      </w:tblPr>
      <w:tblGrid>
        <w:gridCol w:w="4390"/>
        <w:gridCol w:w="2410"/>
        <w:gridCol w:w="2551"/>
        <w:gridCol w:w="1554"/>
      </w:tblGrid>
      <w:tr>
        <w:trPr>
          <w:trHeight w:val="699"/>
        </w:trPr>
        <w:tc>
          <w:tcPr>
            <w:tcW w:w="4390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Unsuccessful recanalization (mTICI 0, 1 or 2a, N=16)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Successful recanalization (mTICI 2b, 2c or 3, N=149)</w:t>
            </w:r>
          </w:p>
        </w:tc>
        <w:tc>
          <w:tcPr>
            <w:tcW w:w="1554" w:type="dxa"/>
            <w:shd w:val="clear" w:color="auto" w:fill="DDD9C3" w:themeFill="background2" w:themeFillShade="E6"/>
          </w:tcPr>
          <w:p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Mortality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11/15 (73.3%)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44/137 (32.1%)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sICH ECASS II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4/16 (25%)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4/149 (2.7%)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0.003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Median NIHSS improvement at 24 hours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 (0-8)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(-1-10)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0.876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 0-1 at 3 months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0/15 (0%)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38/137 (27.7%)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 0-2 at 3 months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3/15 (20%)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52/137 (38%)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0.258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mRS 0-3 at 3 months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3/15 (20%)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67/137 (48.9%)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0.053</w:t>
            </w:r>
          </w:p>
        </w:tc>
      </w:tr>
      <w:tr>
        <w:tc>
          <w:tcPr>
            <w:tcW w:w="439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Non-hemorrhagic neurological worsening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16/82 (19.5%)</w:t>
            </w:r>
          </w:p>
        </w:tc>
        <w:tc>
          <w:tcPr>
            <w:tcW w:w="1554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0.352</w:t>
            </w:r>
          </w:p>
        </w:tc>
      </w:tr>
    </w:tbl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Outcome parameters comparing patients with successful recanalization and patients with unsuccessful recanalization of basilar artery occlusion. Unadjusted chi squared testing of group differences.  Mann-Whithney-U-Test for difference in NIHSS improvement. </w:t>
      </w:r>
    </w:p>
    <w:p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t>sICH: symptomatic intracranial hemorrhage according to European Co-operative Acute Stroke Study-II defition, NIHSS: National Institute of Health Stroke Scale, mRS: modified Rankin Scale</w:t>
      </w:r>
    </w:p>
    <w:p>
      <w:pPr>
        <w:rPr>
          <w:rFonts w:ascii="Times New Roman" w:hAnsi="Times New Roman" w:cs="Times New Roman"/>
          <w:sz w:val="18"/>
          <w:lang w:val="en-US"/>
        </w:rPr>
      </w:pPr>
      <w:r>
        <w:rPr>
          <w:rFonts w:ascii="Times New Roman" w:hAnsi="Times New Roman" w:cs="Times New Roman"/>
          <w:sz w:val="18"/>
          <w:lang w:val="en-US"/>
        </w:rPr>
        <w:br w:type="page"/>
      </w:r>
    </w:p>
    <w:p>
      <w:pPr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lastRenderedPageBreak/>
        <w:t xml:space="preserve">S Table 5 -  </w:t>
      </w:r>
      <w:r>
        <w:rPr>
          <w:rFonts w:ascii="Times New Roman" w:eastAsia="Calibri" w:hAnsi="Times New Roman" w:cs="Times New Roman"/>
          <w:lang w:val="en-US"/>
        </w:rPr>
        <w:t xml:space="preserve">Criteria for performing MT in PC and estimate of rate of included BAO patients </w:t>
      </w:r>
    </w:p>
    <w:tbl>
      <w:tblPr>
        <w:tblStyle w:val="Tabellenraster"/>
        <w:tblW w:w="10954" w:type="dxa"/>
        <w:tblLook w:val="04A0" w:firstRow="1" w:lastRow="0" w:firstColumn="1" w:lastColumn="0" w:noHBand="0" w:noVBand="1"/>
      </w:tblPr>
      <w:tblGrid>
        <w:gridCol w:w="1555"/>
        <w:gridCol w:w="6378"/>
        <w:gridCol w:w="3021"/>
      </w:tblGrid>
      <w:tr>
        <w:tc>
          <w:tcPr>
            <w:tcW w:w="1555" w:type="dxa"/>
          </w:tcPr>
          <w:p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Center</w:t>
            </w:r>
          </w:p>
        </w:tc>
        <w:tc>
          <w:tcPr>
            <w:tcW w:w="6378" w:type="dxa"/>
          </w:tcPr>
          <w:p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Criteria for performing MT in PC (and AC)</w:t>
            </w:r>
          </w:p>
        </w:tc>
        <w:tc>
          <w:tcPr>
            <w:tcW w:w="3021" w:type="dxa"/>
          </w:tcPr>
          <w:p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De facto or estimated ratio of patients in the registry as compared to total number of patients with BAO during the study period. 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Bern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PC:  (1) diagnosis of BAO was established; (2) baseline NIHSS score was 4 points or hemianopia was present; (3) hemorrhage on cranial CT or MRI was excluded; (4) BAO as seen on digital subtraction angiography correlated with the neurological deficit; (5) symptom duration was not &gt;24 hours; and (6) no individual clinical or premorbid conditions or laboratory findings advised against thrombolysis.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Exclusion: we perform MRI in most cases and if severe brainstem damage is present on DWI (bilateral pyramid tract infarctions) we do not perform MT.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~ 90% of 62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Montpellier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PC: Patients were selected based on visual interpretation of the DW Imaging at Baseline, for example if only a few region of midbrain was affected , neuroradiologist do thrombectomy. BSS score was used in the departement:  (Reference Diffusion-Weighted Imaging Score of the Brain Stem: A Predictor of Outcome in Acute Basilar Artery Occlusion Treated with the Solitaire FR Device , Isabelle Mourand &amp; al .)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AC: NIHSS admission, Ischaemic core volume, Penumbra volume++ ( Perfusion), Good medical case 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2/4 (50%)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Reims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PC: Basically all patients with evidence of basilar artery occlusion undergo MT at our institution in absence of prolonged coma (&gt;6h) or complete infarction of the mesencephalon and the thalamus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10/18 (56%)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Barcelona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treatment indication is done based on clinical severity (baseline NIHSS), parenchyma status measure by CT (we rarely use MRI or CT-P in posterior circulation) and time from onset. For anterior circulation we use similar criteria, using CT-P beyond 6 hours from symptom onset.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46/79 (66%)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Munich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exclusion criteria for thrombectomy in BA thrombosis (no fixed time window):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Coma &gt; 6 h and / or clinical signs of irreversible brain stem damage (pupils far without LR, lack of CR,respiratory disorder, circulatory dysregulation) &gt; 6 h after onset of symptoms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infarction of the whole pontomesencephal cross section in FLAIR / CT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46/161 (29%) 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Lausanne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Anterior circulation: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NIHSS ≥ 4 or major neurological deficit, Rankin ≤ 2 and ASPECTS ≥ 5 or core infarct ≤ 100cc for ≤ 8 hours from symptom onset.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NIHSS ≥ 10 or major neurological deficit, Rankin ≤ 2 and ASPECTS ≥ 7 or core infarct ≤ 50cc for 8-24 hours from symptom onset.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Posterior circulation: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NIHSS ≥ 4 or major neurological deficit, Rankin ≤ 2, pc-ASPECTS ≥ 7, no irreversible brainstem ischemia for ≤ 8 hours from symptom onset.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NIHSS ≥ 10 or major neurological deficit, Rankin ≤ 2, pc-ASPECTS ≥ 8, no irreversible brainstem ischemia for 8-24 hours from symptom onset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8/34 (24%)</w:t>
            </w:r>
          </w:p>
        </w:tc>
      </w:tr>
      <w:tr>
        <w:tc>
          <w:tcPr>
            <w:tcW w:w="1555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Toronto</w:t>
            </w:r>
          </w:p>
        </w:tc>
        <w:tc>
          <w:tcPr>
            <w:tcW w:w="637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PC: We have a low threshold to proceed with EVT and overall give patients 'the benefit of the doubt'. We decided posterior circulation strokes on CT/CTA. Few cases were decided up on MRI when CT/CTA was unclear and we used DWI/flair mismatch criteria. We do not use posterior circulation ASPECTS or other standardize methods for core definition.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window is 24h and we also analyze endovascular feasibility and access based on CTA.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Certainly, baseline mRS &gt;3, signs of bleeding, severe ICAD or difficult/impossible access, significant cerebellar infarction, imaging signs of hydrocephalus, compression of the 4th ventricle or tonsillar prolapse are excluding factors.</w:t>
            </w:r>
          </w:p>
        </w:tc>
        <w:tc>
          <w:tcPr>
            <w:tcW w:w="302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7/25 (28%)</w:t>
            </w:r>
          </w:p>
        </w:tc>
      </w:tr>
    </w:tbl>
    <w:p>
      <w:pPr>
        <w:rPr>
          <w:rFonts w:ascii="Times New Roman" w:hAnsi="Times New Roman" w:cs="Times New Roman"/>
          <w:sz w:val="18"/>
          <w:lang w:val="en-US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611"/>
    <w:multiLevelType w:val="hybridMultilevel"/>
    <w:tmpl w:val="D3E44C24"/>
    <w:lvl w:ilvl="0" w:tplc="D0CA6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215"/>
    <w:multiLevelType w:val="hybridMultilevel"/>
    <w:tmpl w:val="7388B044"/>
    <w:lvl w:ilvl="0" w:tplc="F586BE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rK0MDU2NDA3NjNS0lEKTi0uzszPAymwrAUAbNvbp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1622EE8E-F313-4224-A2A5-A2ADE1FA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Kaesmacher, Johannes</dc:creator>
  <cp:keywords/>
  <dc:description/>
  <cp:lastModifiedBy>Meinel, Thomas Raphael</cp:lastModifiedBy>
  <cp:revision>3</cp:revision>
  <dcterms:created xsi:type="dcterms:W3CDTF">2019-04-02T09:12:00Z</dcterms:created>
  <dcterms:modified xsi:type="dcterms:W3CDTF">2019-04-02T09:13:00Z</dcterms:modified>
</cp:coreProperties>
</file>