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6664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799"/>
        <w:gridCol w:w="2100"/>
        <w:gridCol w:w="2426"/>
        <w:gridCol w:w="2274"/>
        <w:gridCol w:w="887"/>
        <w:gridCol w:w="2145"/>
        <w:gridCol w:w="2144"/>
        <w:gridCol w:w="887"/>
      </w:tblGrid>
      <w:tr>
        <w:trPr>
          <w:trHeight w:val="300" w:hRule="atLeast"/>
        </w:trPr>
        <w:tc>
          <w:tcPr>
            <w:tcW w:w="37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D9D9D9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Overall (%)</w:t>
            </w:r>
          </w:p>
        </w:tc>
        <w:tc>
          <w:tcPr>
            <w:tcW w:w="5587" w:type="dxa"/>
            <w:gridSpan w:val="3"/>
            <w:tcBorders>
              <w:top w:val="single" w:sz="4" w:space="0" w:color="00000A"/>
              <w:right w:val="single" w:sz="4" w:space="0" w:color="000001"/>
              <w:insideV w:val="single" w:sz="4" w:space="0" w:color="000001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Ruptured (n=88)</w:t>
            </w:r>
          </w:p>
        </w:tc>
        <w:tc>
          <w:tcPr>
            <w:tcW w:w="5176" w:type="dxa"/>
            <w:gridSpan w:val="3"/>
            <w:tcBorders>
              <w:top w:val="single" w:sz="4" w:space="0" w:color="00000A"/>
              <w:right w:val="single" w:sz="4" w:space="0" w:color="000001"/>
              <w:insideV w:val="single" w:sz="4" w:space="0" w:color="000001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Unruptured (n=53)</w:t>
            </w:r>
          </w:p>
        </w:tc>
      </w:tr>
      <w:tr>
        <w:trPr>
          <w:trHeight w:val="300" w:hRule="atLeast"/>
        </w:trPr>
        <w:tc>
          <w:tcPr>
            <w:tcW w:w="379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21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Clip (n=33)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Endovascular (n=55)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Clip (n=15)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Coil (n=38)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Age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SD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56.6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12.5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49.2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11.2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57.8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12.5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0.004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57.3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7.7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61.2 </w:t>
            </w:r>
            <w:r>
              <w:rPr>
                <w:rFonts w:eastAsia="Times New Roman" w:cs="Times New Roman" w:ascii="Calibri" w:hAnsi="Calibri"/>
                <w:color w:val="000000"/>
                <w:u w:val="single"/>
              </w:rPr>
              <w:t>+</w:t>
            </w:r>
            <w:r>
              <w:rPr>
                <w:rFonts w:eastAsia="Times New Roman" w:cs="Times New Roman" w:ascii="Calibri" w:hAnsi="Calibri"/>
                <w:color w:val="000000"/>
              </w:rPr>
              <w:t xml:space="preserve"> 12.6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0.256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Female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106 (75%)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28 (85%)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42 (76%)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0.42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7 (47%)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29 (76%)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0.053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Total Length of stay (SD)</w:t>
            </w:r>
          </w:p>
        </w:tc>
        <w:tc>
          <w:tcPr>
            <w:tcW w:w="2100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15.6 (13.1)</w:t>
            </w:r>
          </w:p>
        </w:tc>
        <w:tc>
          <w:tcPr>
            <w:tcW w:w="242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25.0 (13.8)</w:t>
            </w:r>
          </w:p>
        </w:tc>
        <w:tc>
          <w:tcPr>
            <w:tcW w:w="227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19.0 (10.2)</w:t>
            </w:r>
          </w:p>
        </w:tc>
        <w:tc>
          <w:tcPr>
            <w:tcW w:w="88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0.055</w:t>
            </w:r>
          </w:p>
        </w:tc>
        <w:tc>
          <w:tcPr>
            <w:tcW w:w="214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14.3 (13.1)</w:t>
            </w:r>
          </w:p>
        </w:tc>
        <w:tc>
          <w:tcPr>
            <w:tcW w:w="214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3.4 (3.9)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</w:rPr>
              <w:t>Vasospasm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36 (26%)</w:t>
            </w:r>
          </w:p>
        </w:tc>
        <w:tc>
          <w:tcPr>
            <w:tcW w:w="2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19 (58%)</w:t>
            </w:r>
          </w:p>
        </w:tc>
        <w:tc>
          <w:tcPr>
            <w:tcW w:w="2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16 (30%)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0.013</w:t>
            </w:r>
          </w:p>
        </w:tc>
        <w:tc>
          <w:tcPr>
            <w:tcW w:w="21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(7%)</w:t>
            </w:r>
          </w:p>
        </w:tc>
        <w:tc>
          <w:tcPr>
            <w:tcW w:w="2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0.278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Endovascular Intervention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19 (13%)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11 (33%)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7 (13%)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 w:ascii="Calibri" w:hAnsi="Calibri"/>
                <w:color w:val="000000"/>
              </w:rPr>
              <w:t>0.278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Related Cerebrovascular Accident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 (2%)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(6%)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(2%)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0.554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color w:val="000000"/>
              </w:rPr>
              <w:t>Complications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 xml:space="preserve">                            Medical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 (9.9%)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 (12.1%)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7 (12.7%)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(13.3%)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(2.6%)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0.19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Technical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29 (20.6%)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 (9.1%)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 (18.2%)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&lt;0.001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(6.7%)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15 (39.5%)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0.022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Transient Neurological</w:t>
            </w:r>
          </w:p>
        </w:tc>
        <w:tc>
          <w:tcPr>
            <w:tcW w:w="210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 (9.9%)</w:t>
            </w:r>
          </w:p>
        </w:tc>
        <w:tc>
          <w:tcPr>
            <w:tcW w:w="242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 (27.3%)</w:t>
            </w:r>
          </w:p>
        </w:tc>
        <w:tc>
          <w:tcPr>
            <w:tcW w:w="227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&lt;0.001</w:t>
            </w:r>
          </w:p>
        </w:tc>
        <w:tc>
          <w:tcPr>
            <w:tcW w:w="214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 (26.7%)</w:t>
            </w:r>
          </w:p>
        </w:tc>
        <w:tc>
          <w:tcPr>
            <w:tcW w:w="214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(2.6%)</w:t>
            </w:r>
          </w:p>
        </w:tc>
        <w:tc>
          <w:tcPr>
            <w:tcW w:w="887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0.019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Permanent Cranial Neuropathy</w:t>
            </w:r>
          </w:p>
        </w:tc>
        <w:tc>
          <w:tcPr>
            <w:tcW w:w="21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 (7.1%)</w:t>
            </w:r>
          </w:p>
        </w:tc>
        <w:tc>
          <w:tcPr>
            <w:tcW w:w="2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6 (18.2%)</w:t>
            </w:r>
          </w:p>
        </w:tc>
        <w:tc>
          <w:tcPr>
            <w:tcW w:w="22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0.002</w:t>
            </w:r>
          </w:p>
        </w:tc>
        <w:tc>
          <w:tcPr>
            <w:tcW w:w="21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 (26.7%)</w:t>
            </w:r>
          </w:p>
        </w:tc>
        <w:tc>
          <w:tcPr>
            <w:tcW w:w="21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0.005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Permanent Neurological Other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 (6.4%)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6 (18.2%)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(3.6%)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0.048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(6.7%)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0.283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Treatment Associated Mortality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5 (3.5%)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(6.1%)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(3.6%)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0.629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(6.7%)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0.283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Hydrocephalus requiring EVD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77 (55%)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27 (81.8%)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46 (83.6%)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 (26.7%)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0.005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Permanent CSF Diversion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30 (21.3%)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16 (48.5%)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12 (21.8%)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0.017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(6.7%)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(2.6%)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0.49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Tracheostomy 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 (2.8%)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 (9.1%)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(1.8%)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0.146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Percutaneous Gastrostomy 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13 (9.2%)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5 (15.2%)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 (14.5%)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 xml:space="preserve">Disposition                   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 xml:space="preserve"> Home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82 (58%)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 (30%)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28 (52%)</w:t>
            </w:r>
          </w:p>
        </w:tc>
        <w:tc>
          <w:tcPr>
            <w:tcW w:w="88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0.17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 (53%)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36 (92%)</w:t>
            </w:r>
          </w:p>
        </w:tc>
        <w:tc>
          <w:tcPr>
            <w:tcW w:w="88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0.001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Rehabilitation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26 (18%)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 (27%)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11 (20%)</w:t>
            </w:r>
          </w:p>
        </w:tc>
        <w:tc>
          <w:tcPr>
            <w:tcW w:w="88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5 (33%)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(3%)</w:t>
            </w:r>
          </w:p>
        </w:tc>
        <w:tc>
          <w:tcPr>
            <w:tcW w:w="88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Skilled Nursing Facility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21 (15%)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 (30%)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 (15%)</w:t>
            </w:r>
          </w:p>
        </w:tc>
        <w:tc>
          <w:tcPr>
            <w:tcW w:w="88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 (7%)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 (5%)</w:t>
            </w:r>
          </w:p>
        </w:tc>
        <w:tc>
          <w:tcPr>
            <w:tcW w:w="887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mRS at Discharge (SD)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2.07 (1.81)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3.18 (1.63)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2.54 (1.76)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0.044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1.93 (1.67)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0.54 (0.82)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0.001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mRS 0-2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95 (67%)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 (42%)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34 (63%)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Cs/>
                <w:color w:val="000000"/>
              </w:rPr>
              <w:t>0.077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 (67%)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37 (95%)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0.14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mRS at 3 months (SD)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1.14 (1.35)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2.06 (1.21)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1.27 (1.45)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1.00 (0.95)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0.50 (1.14)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0.049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mRS 0-2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83 (86%)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 (78%)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30 (81%)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11 (92%)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28 (93%)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mRS at 1 Year (SD)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0.83 (1.24)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1.47 (0.99)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0.85 (1.37)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0.019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0.88 (0.83)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0.40 (1.19)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Cs/>
                <w:color w:val="000000"/>
              </w:rPr>
              <w:t>0.067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mRS 0-2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73 (90%)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13 (87%)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29 (88%)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8 (100%)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23 (92%)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mRS at Last Follow-Up (SD)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0.87 (1.31)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1.55 (1.23)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0.93 (1.42)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0.009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0.58 (0.79)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0.45 (1.21)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0.118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mRS 0-2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90 (89%)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18 (90%)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34 (85%)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0.707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12 (100%)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26 (90%)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0.543</w:t>
            </w:r>
          </w:p>
        </w:tc>
      </w:tr>
      <w:tr>
        <w:trPr>
          <w:trHeight w:val="300" w:hRule="atLeast"/>
        </w:trPr>
        <w:tc>
          <w:tcPr>
            <w:tcW w:w="3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INDEX (SD)</w:t>
            </w:r>
          </w:p>
        </w:tc>
        <w:tc>
          <w:tcPr>
            <w:tcW w:w="210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$87,400 ($52,840)</w:t>
            </w:r>
          </w:p>
        </w:tc>
        <w:tc>
          <w:tcPr>
            <w:tcW w:w="24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$129,300 ($55,500)</w:t>
            </w:r>
          </w:p>
        </w:tc>
        <w:tc>
          <w:tcPr>
            <w:tcW w:w="22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$96,800 ($38,000)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0.002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$83,500 ($57,500)</w:t>
            </w:r>
          </w:p>
        </w:tc>
        <w:tc>
          <w:tcPr>
            <w:tcW w:w="21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$39,100 ($20,900)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&lt;0.001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Table 1: Overall demographics for entire cohort, hospital course information, complications, clinical outcomes, and total cost of index hospitalization. Mean values listed. Clip” entails all microsurgical techniques including clipping and bypass/terminal basilar occlusion.  “Endovascular” entails all endovascular therapy including coiling, balloon- and stent-assisted coiling. Bold p-values indicate statistical significance (&lt;0.05). mRS = modified Rankin scale. SD = standard deviation. EVD = external ventricular drain. CSF = cerebrospinal fluid. INDEX = </w:t>
      </w:r>
      <w:r>
        <w:rPr>
          <w:rFonts w:eastAsia="Times New Roman" w:cs="Times New Roman" w:ascii="Calibri" w:hAnsi="Calibri"/>
          <w:color w:val="000000"/>
        </w:rPr>
        <w:t xml:space="preserve">Total Cost for Index Hospitalization.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1906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4"/>
        <w:gridCol w:w="1546"/>
        <w:gridCol w:w="1799"/>
        <w:gridCol w:w="1620"/>
        <w:gridCol w:w="1780"/>
        <w:gridCol w:w="1680"/>
        <w:gridCol w:w="1"/>
        <w:gridCol w:w="1579"/>
        <w:gridCol w:w="1639"/>
        <w:gridCol w:w="2"/>
        <w:gridCol w:w="1538"/>
        <w:gridCol w:w="2"/>
        <w:gridCol w:w="1199"/>
        <w:gridCol w:w="2"/>
        <w:gridCol w:w="1418"/>
        <w:gridCol w:w="1"/>
        <w:gridCol w:w="1439"/>
      </w:tblGrid>
      <w:tr>
        <w:trPr>
          <w:trHeight w:val="600" w:hRule="atLeast"/>
        </w:trPr>
        <w:tc>
          <w:tcPr>
            <w:tcW w:w="181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54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68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Endovascular</w:t>
            </w:r>
          </w:p>
        </w:tc>
        <w:tc>
          <w:tcPr>
            <w:tcW w:w="322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Open</w:t>
            </w:r>
          </w:p>
        </w:tc>
        <w:tc>
          <w:tcPr>
            <w:tcW w:w="154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20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41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43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81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54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Coil</w:t>
            </w:r>
          </w:p>
        </w:tc>
        <w:tc>
          <w:tcPr>
            <w:tcW w:w="346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Stent-Coil</w:t>
            </w:r>
          </w:p>
        </w:tc>
        <w:tc>
          <w:tcPr>
            <w:tcW w:w="158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 xml:space="preserve">Clip (13U/33R) </w:t>
            </w:r>
          </w:p>
        </w:tc>
        <w:tc>
          <w:tcPr>
            <w:tcW w:w="1639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Bypass (2U/0R)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 Clip vs. Endovascular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 Clip vs. Coil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 of Clip vs. Stent-Coil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 of Coil vs. Stent-Coil</w:t>
            </w:r>
          </w:p>
        </w:tc>
      </w:tr>
      <w:tr>
        <w:trPr>
          <w:trHeight w:val="300" w:hRule="atLeast"/>
        </w:trPr>
        <w:tc>
          <w:tcPr>
            <w:tcW w:w="181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546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coil (9U, 20R)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BAC (5U, 29R)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SAC (17U, 4R)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Y-SAC (7U, 2R)</w:t>
            </w:r>
          </w:p>
        </w:tc>
        <w:tc>
          <w:tcPr>
            <w:tcW w:w="158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639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5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2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4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Unruptured (U)</w:t>
            </w:r>
          </w:p>
        </w:tc>
        <w:tc>
          <w:tcPr>
            <w:tcW w:w="1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Average (SD)</w:t>
            </w:r>
          </w:p>
        </w:tc>
        <w:tc>
          <w:tcPr>
            <w:tcW w:w="1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$33,500 ($22,600)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$26,200 ($11,600)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$38,500 ($20,900)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$56,900 ($14,400)</w:t>
            </w:r>
          </w:p>
        </w:tc>
        <w:tc>
          <w:tcPr>
            <w:tcW w:w="158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$71,400 ($47,100)</w:t>
            </w:r>
          </w:p>
        </w:tc>
        <w:tc>
          <w:tcPr>
            <w:tcW w:w="1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$162,800 ($71,500)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0.001*</w:t>
            </w:r>
          </w:p>
        </w:tc>
        <w:tc>
          <w:tcPr>
            <w:tcW w:w="120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0.007*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0.018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0.064</w:t>
            </w:r>
          </w:p>
        </w:tc>
      </w:tr>
      <w:tr>
        <w:trPr>
          <w:trHeight w:val="300" w:hRule="atLeast"/>
        </w:trPr>
        <w:tc>
          <w:tcPr>
            <w:tcW w:w="18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Median</w:t>
            </w:r>
          </w:p>
        </w:tc>
        <w:tc>
          <w:tcPr>
            <w:tcW w:w="1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$28,600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$25,400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$33,100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$64,100</w:t>
            </w:r>
          </w:p>
        </w:tc>
        <w:tc>
          <w:tcPr>
            <w:tcW w:w="158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$52,800</w:t>
            </w:r>
          </w:p>
        </w:tc>
        <w:tc>
          <w:tcPr>
            <w:tcW w:w="1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$162,800</w:t>
            </w:r>
          </w:p>
        </w:tc>
        <w:tc>
          <w:tcPr>
            <w:tcW w:w="154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20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42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600" w:hRule="atLeast"/>
        </w:trPr>
        <w:tc>
          <w:tcPr>
            <w:tcW w:w="181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Ruptured (R)</w:t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Average (SD)</w:t>
            </w:r>
          </w:p>
        </w:tc>
        <w:tc>
          <w:tcPr>
            <w:tcW w:w="1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$96,600 ($41,000)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$94,500 ($37,000)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$118,600 ($42,800)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$87,900 ($17,600)</w:t>
            </w:r>
          </w:p>
        </w:tc>
        <w:tc>
          <w:tcPr>
            <w:tcW w:w="158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$129,300 ($55,500)</w:t>
            </w:r>
          </w:p>
        </w:tc>
        <w:tc>
          <w:tcPr>
            <w:tcW w:w="1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0.002*</w:t>
            </w:r>
          </w:p>
        </w:tc>
        <w:tc>
          <w:tcPr>
            <w:tcW w:w="1201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0.002*</w:t>
            </w: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0.384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0.434</w:t>
            </w:r>
          </w:p>
        </w:tc>
      </w:tr>
      <w:tr>
        <w:trPr>
          <w:trHeight w:val="300" w:hRule="atLeast"/>
        </w:trPr>
        <w:tc>
          <w:tcPr>
            <w:tcW w:w="181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2F2F2" w:val="clear"/>
            <w:vAlign w:val="center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Median</w:t>
            </w:r>
          </w:p>
        </w:tc>
        <w:tc>
          <w:tcPr>
            <w:tcW w:w="17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$80,600</w:t>
            </w:r>
          </w:p>
        </w:tc>
        <w:tc>
          <w:tcPr>
            <w:tcW w:w="16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$87,300</w:t>
            </w:r>
          </w:p>
        </w:tc>
        <w:tc>
          <w:tcPr>
            <w:tcW w:w="17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$120,200</w:t>
            </w:r>
          </w:p>
        </w:tc>
        <w:tc>
          <w:tcPr>
            <w:tcW w:w="168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$87,900</w:t>
            </w:r>
          </w:p>
        </w:tc>
        <w:tc>
          <w:tcPr>
            <w:tcW w:w="158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$130,900</w:t>
            </w:r>
          </w:p>
        </w:tc>
        <w:tc>
          <w:tcPr>
            <w:tcW w:w="16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</w:t>
            </w:r>
          </w:p>
        </w:tc>
        <w:tc>
          <w:tcPr>
            <w:tcW w:w="154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201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</w:r>
          </w:p>
        </w:tc>
        <w:tc>
          <w:tcPr>
            <w:tcW w:w="142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1440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/>
        <w:t xml:space="preserve">Table 2: Index hospitalization cost based on treatment modality and rupture status. SD = standard deviation. U = unruptured. R = Ruptured. BAC = balloon assisted coiling. SAC = single stent assisted coiling. Y-SAC = “Y” configuration, double-stent assisted coiling. * = remained significant after adjusting for multiple comparisons. 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166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19"/>
        <w:gridCol w:w="1057"/>
        <w:gridCol w:w="2312"/>
        <w:gridCol w:w="1052"/>
        <w:gridCol w:w="1"/>
        <w:gridCol w:w="851"/>
        <w:gridCol w:w="2"/>
        <w:gridCol w:w="2038"/>
        <w:gridCol w:w="1"/>
        <w:gridCol w:w="1027"/>
      </w:tblGrid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/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Unruptured, Index Cost</w:t>
            </w:r>
          </w:p>
        </w:tc>
        <w:tc>
          <w:tcPr>
            <w:tcW w:w="4421" w:type="dxa"/>
            <w:gridSpan w:val="3"/>
            <w:tcBorders>
              <w:right w:val="single" w:sz="12" w:space="0" w:color="000001"/>
              <w:insideV w:val="single" w:sz="12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Univariate</w:t>
            </w:r>
          </w:p>
        </w:tc>
        <w:tc>
          <w:tcPr>
            <w:tcW w:w="3920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Multivariate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  <w:vertAlign w:val="superscript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85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02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Vasospasm w/Intervention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129.3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(55.68, 202.91)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0.001</w:t>
            </w:r>
          </w:p>
        </w:tc>
        <w:tc>
          <w:tcPr>
            <w:tcW w:w="85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68.23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(42.41, 94.06)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0.009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Permanent CSF diversion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104.44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(53.71, 155.18)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85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35.52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(15.86, 55.18)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Length of Stay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3.9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(3.27, 4.52)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85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3.26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(2.84, 3.68)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Aneurysm Neck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4.51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(0.84, 8.17)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0.017</w:t>
            </w:r>
          </w:p>
        </w:tc>
        <w:tc>
          <w:tcPr>
            <w:tcW w:w="85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2.64</w:t>
            </w:r>
          </w:p>
        </w:tc>
        <w:tc>
          <w:tcPr>
            <w:tcW w:w="2039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(1.43, 3.86)</w:t>
            </w:r>
          </w:p>
        </w:tc>
        <w:tc>
          <w:tcPr>
            <w:tcW w:w="10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Treatment Date</w:t>
            </w:r>
          </w:p>
        </w:tc>
        <w:tc>
          <w:tcPr>
            <w:tcW w:w="4421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2.41</w:t>
            </w:r>
          </w:p>
        </w:tc>
        <w:tc>
          <w:tcPr>
            <w:tcW w:w="2040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1.49-3.32</w:t>
            </w:r>
          </w:p>
        </w:tc>
        <w:tc>
          <w:tcPr>
            <w:tcW w:w="1028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EVD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115.18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(87.98, 142.38)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19" w:type="dxa"/>
            <w:gridSpan w:val="5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Hypertension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23.37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(0.72, 46.03)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0.043</w:t>
            </w:r>
          </w:p>
        </w:tc>
        <w:tc>
          <w:tcPr>
            <w:tcW w:w="3919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Discharged Home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-69.5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(-90.32, -48.68)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19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Endovascular Treatment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-44.47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(-65.88, -23.05)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19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Aneurysm Height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2.92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(0.82, 5.03)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0.007</w:t>
            </w:r>
          </w:p>
        </w:tc>
        <w:tc>
          <w:tcPr>
            <w:tcW w:w="3919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Complications</w:t>
            </w:r>
          </w:p>
        </w:tc>
        <w:tc>
          <w:tcPr>
            <w:tcW w:w="105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30.94</w:t>
            </w:r>
          </w:p>
        </w:tc>
        <w:tc>
          <w:tcPr>
            <w:tcW w:w="231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(10.33, 51.56)</w:t>
            </w:r>
          </w:p>
        </w:tc>
        <w:tc>
          <w:tcPr>
            <w:tcW w:w="1053" w:type="dxa"/>
            <w:gridSpan w:val="2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0.004</w:t>
            </w:r>
          </w:p>
        </w:tc>
        <w:tc>
          <w:tcPr>
            <w:tcW w:w="3919" w:type="dxa"/>
            <w:gridSpan w:val="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>
          <w:rFonts w:eastAsia="Cambria" w:cs="Cambria"/>
          <w:sz w:val="24"/>
          <w:szCs w:val="24"/>
          <w:u w:val="none"/>
          <w:lang w:val="en-US"/>
        </w:rPr>
        <w:t xml:space="preserve">Supplementary </w:t>
      </w:r>
      <w:r>
        <w:rPr/>
        <w:t xml:space="preserve">Table </w:t>
      </w:r>
      <w:r>
        <w:rPr/>
        <w:t>3</w:t>
      </w:r>
      <w:r>
        <w:rPr/>
        <w:t xml:space="preserve">: Univariate and Multivariate variables statistically related to cost of index hospitalization, for unruptured aneurysms. CI = 95% Confidence Intervals, EVD = external ventricular drain, CSF = cerebrospinal fluid. NS = non significant (p&gt;0.05). </w:t>
      </w:r>
      <w:r>
        <w:rPr>
          <w:i/>
          <w:iCs/>
        </w:rPr>
        <w:t>a</w:t>
      </w:r>
      <w:r>
        <w:rPr/>
        <w:t>: Cross-validated R</w:t>
      </w:r>
      <w:r>
        <w:rPr>
          <w:vertAlign w:val="superscript"/>
        </w:rPr>
        <w:t>2</w:t>
      </w:r>
      <w:r>
        <w:rPr/>
        <w:t xml:space="preserve"> =  0.789.</w:t>
      </w:r>
    </w:p>
    <w:p>
      <w:pPr>
        <w:pStyle w:val="Normal"/>
        <w:rPr/>
      </w:pPr>
      <w:r>
        <w:rPr/>
      </w:r>
      <w:r>
        <w:br w:type="page"/>
      </w:r>
    </w:p>
    <w:tbl>
      <w:tblPr>
        <w:tblW w:w="11661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19"/>
        <w:gridCol w:w="1001"/>
        <w:gridCol w:w="2350"/>
        <w:gridCol w:w="1069"/>
        <w:gridCol w:w="844"/>
        <w:gridCol w:w="2059"/>
        <w:gridCol w:w="1018"/>
      </w:tblGrid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Ruptured, Index Cost</w:t>
            </w:r>
          </w:p>
        </w:tc>
        <w:tc>
          <w:tcPr>
            <w:tcW w:w="4420" w:type="dxa"/>
            <w:gridSpan w:val="3"/>
            <w:tcBorders>
              <w:right w:val="single" w:sz="12" w:space="0" w:color="000001"/>
              <w:insideV w:val="single" w:sz="12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Univariate</w:t>
            </w:r>
          </w:p>
        </w:tc>
        <w:tc>
          <w:tcPr>
            <w:tcW w:w="3921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Multivariate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  <w:vertAlign w:val="superscript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B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01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Vasospasm-related stroke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92.7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(40.22, 145.17)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0.001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27.8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(9.93, 45.67)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Vasospasm w/Intervention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56.12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(33.93, 78.32)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17.53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(9.08, 25.99)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0.045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Complications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6.61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(0.39, 12.83)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Hunt and Hess Grade</w:t>
            </w:r>
          </w:p>
        </w:tc>
        <w:tc>
          <w:tcPr>
            <w:tcW w:w="442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4.05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(1.08, 7.03)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0.041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Length of Stay</w:t>
            </w:r>
          </w:p>
        </w:tc>
        <w:tc>
          <w:tcPr>
            <w:tcW w:w="100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3.52</w:t>
            </w:r>
          </w:p>
        </w:tc>
        <w:tc>
          <w:tcPr>
            <w:tcW w:w="2350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(3.12, 3.91)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3.19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(2.92, 3.46)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0.003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Treatment Date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3.04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(0.03, 6.05)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0.048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2.91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(1.96, 3.85)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Aneurysm Width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4.51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(0.72, 8.31)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0.02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2.34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(1.14, 3.53)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0.019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Age at Treatment</w:t>
            </w:r>
          </w:p>
        </w:tc>
        <w:tc>
          <w:tcPr>
            <w:tcW w:w="44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-0.33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(-0.61, -0.06)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Hypertension</w:t>
            </w:r>
          </w:p>
        </w:tc>
        <w:tc>
          <w:tcPr>
            <w:tcW w:w="442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-6.8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(-13.32, -0.27)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0.009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Endovascular Intervention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-32.49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(-52.34, -12.64)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0.002</w:t>
            </w:r>
          </w:p>
        </w:tc>
        <w:tc>
          <w:tcPr>
            <w:tcW w:w="84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-8.42</w:t>
            </w:r>
          </w:p>
        </w:tc>
        <w:tc>
          <w:tcPr>
            <w:tcW w:w="205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(-15.48, -1.37)</w:t>
            </w:r>
          </w:p>
        </w:tc>
        <w:tc>
          <w:tcPr>
            <w:tcW w:w="10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0.02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Male Gender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-24.85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(-49.53, -0.18)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0.048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Discharged Home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-38.05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(-56.86, -19.25)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2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Fisher Grade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14.55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(1.67, 27.43)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0.027</w:t>
            </w:r>
          </w:p>
        </w:tc>
        <w:tc>
          <w:tcPr>
            <w:tcW w:w="392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EVD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43.07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(17.61, 68.52)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0.001</w:t>
            </w:r>
          </w:p>
        </w:tc>
        <w:tc>
          <w:tcPr>
            <w:tcW w:w="392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Shunt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51.73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(32.88, 70.57)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2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TCD Vasospasm</w:t>
            </w:r>
          </w:p>
        </w:tc>
        <w:tc>
          <w:tcPr>
            <w:tcW w:w="10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36.05</w:t>
            </w:r>
          </w:p>
        </w:tc>
        <w:tc>
          <w:tcPr>
            <w:tcW w:w="235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(16.73, 55.36)</w:t>
            </w:r>
          </w:p>
        </w:tc>
        <w:tc>
          <w:tcPr>
            <w:tcW w:w="1069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2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>
          <w:rFonts w:eastAsia="Cambria" w:cs="Cambria"/>
          <w:sz w:val="24"/>
          <w:szCs w:val="24"/>
          <w:u w:val="none"/>
          <w:lang w:val="en-US"/>
        </w:rPr>
        <w:t xml:space="preserve">Supplementary </w:t>
      </w:r>
      <w:r>
        <w:rPr/>
        <w:t xml:space="preserve">Table </w:t>
      </w:r>
      <w:r>
        <w:rPr/>
        <w:t>4</w:t>
      </w:r>
      <w:r>
        <w:rPr/>
        <w:t xml:space="preserve">: Univariate and Multivariate variables statistically related to cost of index hospitalization, for ruptured aneurysms. CI = 95% Confidence Intervals, EVD = external ventricular drain. TCD = Transcranial Doppler. NS = non significant (p&gt;0.05). </w:t>
      </w:r>
      <w:r>
        <w:rPr>
          <w:i/>
          <w:iCs/>
        </w:rPr>
        <w:t>a</w:t>
      </w:r>
      <w:r>
        <w:rPr/>
        <w:t>: Cross-validated R</w:t>
      </w:r>
      <w:r>
        <w:rPr>
          <w:vertAlign w:val="superscript"/>
        </w:rPr>
        <w:t>2</w:t>
      </w:r>
      <w:r>
        <w:rPr/>
        <w:t xml:space="preserve"> =  0.866.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166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46"/>
        <w:gridCol w:w="1262"/>
        <w:gridCol w:w="2061"/>
        <w:gridCol w:w="1258"/>
        <w:gridCol w:w="888"/>
        <w:gridCol w:w="1827"/>
        <w:gridCol w:w="1117"/>
      </w:tblGrid>
      <w:tr>
        <w:trPr>
          <w:trHeight w:val="300" w:hRule="atLeast"/>
        </w:trPr>
        <w:tc>
          <w:tcPr>
            <w:tcW w:w="3246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Unruptured, 1 YR Cost/QALY</w:t>
            </w:r>
          </w:p>
        </w:tc>
        <w:tc>
          <w:tcPr>
            <w:tcW w:w="4581" w:type="dxa"/>
            <w:gridSpan w:val="3"/>
            <w:tcBorders>
              <w:right w:val="single" w:sz="12" w:space="0" w:color="000001"/>
              <w:insideV w:val="single" w:sz="12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Univariate</w:t>
            </w:r>
          </w:p>
        </w:tc>
        <w:tc>
          <w:tcPr>
            <w:tcW w:w="3832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Multivariate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  <w:vertAlign w:val="superscript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324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1 YR Cost/QALY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8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Ratio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117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mRS at Discharge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1.67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(1.42, 1.96)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8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1.59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(1.38, 1.84)</w:t>
            </w:r>
          </w:p>
        </w:tc>
        <w:tc>
          <w:tcPr>
            <w:tcW w:w="11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Complications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2.01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(1.22, 3.29)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0.007</w:t>
            </w:r>
          </w:p>
        </w:tc>
        <w:tc>
          <w:tcPr>
            <w:tcW w:w="8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1.57</w:t>
            </w:r>
          </w:p>
        </w:tc>
        <w:tc>
          <w:tcPr>
            <w:tcW w:w="182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(1.13, 2.16)</w:t>
            </w:r>
          </w:p>
        </w:tc>
        <w:tc>
          <w:tcPr>
            <w:tcW w:w="11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0.011</w:t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Endovascular Intervention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0.42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(0.25, 0.71)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0.002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Aneurysm Neck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1.13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(1.02, 1.26)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0.026</w:t>
            </w:r>
          </w:p>
        </w:tc>
        <w:tc>
          <w:tcPr>
            <w:tcW w:w="383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Dome:Neck Ratio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0.49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(0.26, 0.94)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0.032</w:t>
            </w:r>
          </w:p>
        </w:tc>
        <w:tc>
          <w:tcPr>
            <w:tcW w:w="383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Permanent CSF diversion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3.27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(1.13, 9.47)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0.03</w:t>
            </w:r>
          </w:p>
        </w:tc>
        <w:tc>
          <w:tcPr>
            <w:tcW w:w="383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Higher mRS at Presentation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1.67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(1.27, 2.20)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0.001</w:t>
            </w:r>
          </w:p>
        </w:tc>
        <w:tc>
          <w:tcPr>
            <w:tcW w:w="383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2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Retreated Recurrence</w:t>
            </w:r>
          </w:p>
        </w:tc>
        <w:tc>
          <w:tcPr>
            <w:tcW w:w="12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2.45</w:t>
            </w:r>
          </w:p>
        </w:tc>
        <w:tc>
          <w:tcPr>
            <w:tcW w:w="206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(1.00, 6.00)</w:t>
            </w:r>
          </w:p>
        </w:tc>
        <w:tc>
          <w:tcPr>
            <w:tcW w:w="1258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0.05</w:t>
            </w:r>
          </w:p>
        </w:tc>
        <w:tc>
          <w:tcPr>
            <w:tcW w:w="3832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>
          <w:rFonts w:eastAsia="Cambria" w:cs="Cambria"/>
          <w:sz w:val="24"/>
          <w:szCs w:val="24"/>
          <w:u w:val="none"/>
          <w:lang w:val="en-US"/>
        </w:rPr>
        <w:t xml:space="preserve">Supplementary </w:t>
      </w:r>
      <w:r>
        <w:rPr/>
        <w:t xml:space="preserve">Table </w:t>
      </w:r>
      <w:r>
        <w:rPr/>
        <w:t>5</w:t>
      </w:r>
      <w:r>
        <w:rPr/>
        <w:t xml:space="preserve">: Univariate and Multivariate variables statistically related to Total Cost/QALY at 1 year, for unruptured aneurysms. CI = 95% Confidence Intervals. CSF = cerebrospinal fluid, mRS = modified Rankin scale. NS = non significant (p&gt;0.05). </w:t>
      </w:r>
      <w:r>
        <w:rPr>
          <w:i/>
          <w:iCs/>
        </w:rPr>
        <w:t>a</w:t>
      </w:r>
      <w:r>
        <w:rPr/>
        <w:t>: Cross-validated R</w:t>
      </w:r>
      <w:r>
        <w:rPr>
          <w:vertAlign w:val="superscript"/>
        </w:rPr>
        <w:t>2</w:t>
      </w:r>
      <w:r>
        <w:rPr/>
        <w:t xml:space="preserve"> =  0.423.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166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19"/>
        <w:gridCol w:w="1026"/>
        <w:gridCol w:w="2107"/>
        <w:gridCol w:w="1287"/>
        <w:gridCol w:w="909"/>
        <w:gridCol w:w="1869"/>
        <w:gridCol w:w="1142"/>
      </w:tblGrid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  <w:t>Ruptured, 1 YR Cost/QALY</w:t>
            </w:r>
          </w:p>
        </w:tc>
        <w:tc>
          <w:tcPr>
            <w:tcW w:w="4420" w:type="dxa"/>
            <w:gridSpan w:val="3"/>
            <w:tcBorders>
              <w:right w:val="single" w:sz="12" w:space="0" w:color="000001"/>
              <w:insideV w:val="single" w:sz="12" w:space="0" w:color="000001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Univariate</w:t>
            </w:r>
          </w:p>
        </w:tc>
        <w:tc>
          <w:tcPr>
            <w:tcW w:w="3920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Multivariate</w:t>
            </w:r>
            <w:r>
              <w:rPr>
                <w:rFonts w:eastAsia="Times New Roman" w:cs="Times New Roman" w:ascii="Calibri" w:hAnsi="Calibri"/>
                <w:i/>
                <w:iCs/>
                <w:color w:val="000000"/>
                <w:vertAlign w:val="superscript"/>
              </w:rPr>
              <w:t>a</w:t>
            </w:r>
          </w:p>
        </w:tc>
      </w:tr>
      <w:tr>
        <w:trPr>
          <w:trHeight w:val="300" w:hRule="atLeast"/>
        </w:trPr>
        <w:tc>
          <w:tcPr>
            <w:tcW w:w="331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eastAsia="Times New Roman" w:cs="Times New Roman"/>
                <w:i/>
                <w:i/>
                <w:iCs/>
                <w:color w:val="000000"/>
              </w:rPr>
            </w:pPr>
            <w:r>
              <w:rPr>
                <w:rFonts w:eastAsia="Times New Roman" w:cs="Times New Roman" w:ascii="Calibri" w:hAnsi="Calibri"/>
                <w:i/>
                <w:iCs/>
                <w:color w:val="000000"/>
              </w:rPr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Ratio</w:t>
            </w:r>
          </w:p>
        </w:tc>
        <w:tc>
          <w:tcPr>
            <w:tcW w:w="21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  <w:tc>
          <w:tcPr>
            <w:tcW w:w="9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Ratio</w:t>
            </w:r>
          </w:p>
        </w:tc>
        <w:tc>
          <w:tcPr>
            <w:tcW w:w="18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CI</w:t>
            </w:r>
          </w:p>
        </w:tc>
        <w:tc>
          <w:tcPr>
            <w:tcW w:w="1142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mRS at Discharge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1.69</w:t>
            </w:r>
          </w:p>
        </w:tc>
        <w:tc>
          <w:tcPr>
            <w:tcW w:w="21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(1.53, 1.87)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1.7</w:t>
            </w:r>
          </w:p>
        </w:tc>
        <w:tc>
          <w:tcPr>
            <w:tcW w:w="18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(1.54, 1.86)</w:t>
            </w:r>
          </w:p>
        </w:tc>
        <w:tc>
          <w:tcPr>
            <w:tcW w:w="11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Aneurysm Width</w:t>
            </w:r>
          </w:p>
        </w:tc>
        <w:tc>
          <w:tcPr>
            <w:tcW w:w="4420" w:type="dxa"/>
            <w:gridSpan w:val="3"/>
            <w:tcBorders>
              <w:top w:val="single" w:sz="4" w:space="0" w:color="00000A"/>
              <w:bottom w:val="single" w:sz="4" w:space="0" w:color="00000A"/>
              <w:right w:val="single" w:sz="12" w:space="0" w:color="000001"/>
              <w:insideH w:val="single" w:sz="4" w:space="0" w:color="00000A"/>
              <w:insideV w:val="single" w:sz="12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  <w:tc>
          <w:tcPr>
            <w:tcW w:w="90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1.06</w:t>
            </w:r>
          </w:p>
        </w:tc>
        <w:tc>
          <w:tcPr>
            <w:tcW w:w="18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(1.01, 1.11)</w:t>
            </w:r>
          </w:p>
        </w:tc>
        <w:tc>
          <w:tcPr>
            <w:tcW w:w="114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0.018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Permanent CSF diversion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2.03</w:t>
            </w:r>
          </w:p>
        </w:tc>
        <w:tc>
          <w:tcPr>
            <w:tcW w:w="21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(1.37, 3.03)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0.001</w:t>
            </w:r>
          </w:p>
        </w:tc>
        <w:tc>
          <w:tcPr>
            <w:tcW w:w="3920" w:type="dxa"/>
            <w:gridSpan w:val="3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NS</w:t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PEG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4.2</w:t>
            </w:r>
          </w:p>
        </w:tc>
        <w:tc>
          <w:tcPr>
            <w:tcW w:w="21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(2.38, 7.40)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2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3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eastAsia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Calibri" w:hAnsi="Calibri"/>
                <w:b/>
                <w:bCs/>
                <w:color w:val="000000"/>
              </w:rPr>
              <w:t>mRS at Presentation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1.44</w:t>
            </w:r>
          </w:p>
        </w:tc>
        <w:tc>
          <w:tcPr>
            <w:tcW w:w="210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(1.22, 1.71)</w:t>
            </w:r>
          </w:p>
        </w:tc>
        <w:tc>
          <w:tcPr>
            <w:tcW w:w="1287" w:type="dxa"/>
            <w:tcBorders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  <w:t>&lt;0.001</w:t>
            </w:r>
          </w:p>
        </w:tc>
        <w:tc>
          <w:tcPr>
            <w:tcW w:w="3920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eastAsia="Times New Roman" w:cs="Times New Roman" w:ascii="Calibri" w:hAnsi="Calibri"/>
                <w:color w:val="000000"/>
              </w:rPr>
            </w:r>
          </w:p>
        </w:tc>
      </w:tr>
    </w:tbl>
    <w:p>
      <w:pPr>
        <w:pStyle w:val="Normal"/>
        <w:rPr/>
      </w:pPr>
      <w:r>
        <w:rPr>
          <w:rFonts w:eastAsia="Cambria" w:cs="Cambria"/>
          <w:sz w:val="24"/>
          <w:szCs w:val="24"/>
          <w:u w:val="none"/>
          <w:lang w:val="en-US"/>
        </w:rPr>
        <w:t xml:space="preserve">Supplementary </w:t>
      </w:r>
      <w:r>
        <w:rPr/>
        <w:t xml:space="preserve">Table </w:t>
      </w:r>
      <w:r>
        <w:rPr/>
        <w:t>6</w:t>
      </w:r>
      <w:r>
        <w:rPr/>
        <w:t xml:space="preserve">: Univariate and Multivariate variables statistically related to Total Cost/QALY at 1 year, for ruptured aneurysms. CI = 95% Confidence Intervals, CSF = cerebrospinal fluid, PEG = percutaneous endoscopic gastrostomy. mRS = modified Rankin scale.  NS = non significant (p&gt;0.05). </w:t>
      </w:r>
      <w:r>
        <w:rPr>
          <w:i/>
          <w:iCs/>
        </w:rPr>
        <w:t>a</w:t>
      </w:r>
      <w:r>
        <w:rPr/>
        <w:t>: Cross-validated R</w:t>
      </w:r>
      <w:r>
        <w:rPr>
          <w:vertAlign w:val="superscript"/>
        </w:rPr>
        <w:t>2</w:t>
      </w:r>
      <w:r>
        <w:rPr/>
        <w:t xml:space="preserve"> =  0.535.</w:t>
      </w:r>
    </w:p>
    <w:p>
      <w:pPr>
        <w:pStyle w:val="Normal"/>
        <w:rPr/>
      </w:pPr>
      <w:r>
        <w:rPr/>
      </w:r>
    </w:p>
    <w:sectPr>
      <w:type w:val="nextPage"/>
      <w:pgSz w:orient="landscape" w:w="2448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159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e61593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61593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61593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23f6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23f68"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e61593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61593"/>
    <w:pPr/>
    <w:rPr>
      <w:b/>
      <w:bCs/>
    </w:rPr>
  </w:style>
  <w:style w:type="paragraph" w:styleId="Revision">
    <w:name w:val="Revision"/>
    <w:uiPriority w:val="99"/>
    <w:semiHidden/>
    <w:qFormat/>
    <w:rsid w:val="00e61593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1593"/>
    <w:pPr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f6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223f68"/>
    <w:pPr>
      <w:tabs>
        <w:tab w:val="center" w:pos="4680" w:leader="none"/>
        <w:tab w:val="right" w:pos="9360" w:leader="none"/>
      </w:tabs>
    </w:pPr>
    <w:rPr/>
  </w:style>
  <w:style w:type="paragraph" w:styleId="ListContents">
    <w:name w:val="List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7</Pages>
  <Words>1149</Words>
  <Characters>6173</Characters>
  <CharactersWithSpaces>6849</CharactersWithSpaces>
  <Paragraphs>530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2018-10-08T20:50:00Z</dcterms:created>
  <dc:creator>Josh Abecassis</dc:creator>
  <dc:description/>
  <dc:language>en-IN</dc:language>
  <cp:lastModifiedBy/>
  <dcterms:modified xsi:type="dcterms:W3CDTF">2019-05-30T14:50:09Z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