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Cambria" w:hAnsi="Cambria"/>
          <w:b/>
        </w:rPr>
        <w:t>Supplemental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Table </w:t>
      </w:r>
      <w:r>
        <w:rPr>
          <w:rFonts w:ascii="Calibri" w:hAnsi="Calibri"/>
          <w:b/>
        </w:rPr>
        <w:t>1:</w:t>
      </w:r>
      <w:r>
        <w:rPr>
          <w:rFonts w:ascii="Calibri" w:hAnsi="Calibri"/>
        </w:rPr>
        <w:t xml:space="preserve"> Baseline characteristics.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tbl>
      <w:tblPr>
        <w:tblW w:w="9815" w:type="dxa"/>
        <w:jc w:val="left"/>
        <w:tblInd w:w="0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522"/>
        <w:gridCol w:w="312"/>
        <w:gridCol w:w="1844"/>
        <w:gridCol w:w="1701"/>
      </w:tblGrid>
      <w:tr>
        <w:trPr>
          <w:trHeight w:val="300" w:hRule="atLeast"/>
        </w:trPr>
        <w:tc>
          <w:tcPr>
            <w:tcW w:w="3436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BEMP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Standard techniques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>
        <w:trPr>
          <w:trHeight w:val="300" w:hRule="atLeast"/>
        </w:trPr>
        <w:tc>
          <w:tcPr>
            <w:tcW w:w="343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 = 22 patients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 = 25 vessels</w:t>
            </w:r>
          </w:p>
        </w:tc>
        <w:tc>
          <w:tcPr>
            <w:tcW w:w="215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 = 137 patients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 = 144 vessels</w:t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Baseline characteristics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sz w:val="20"/>
                <w:szCs w:val="20"/>
              </w:rPr>
            </w:pPr>
            <w:r>
              <w:rPr>
                <w:rFonts w:eastAsia="Times New Roman" w:ascii="Calibri" w:hAnsi="Calibri"/>
                <w:sz w:val="20"/>
                <w:szCs w:val="20"/>
              </w:rPr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sz w:val="20"/>
                <w:szCs w:val="20"/>
              </w:rPr>
            </w:pPr>
            <w:r>
              <w:rPr>
                <w:rFonts w:eastAsia="Times New Roman" w:ascii="Calibri" w:hAnsi="Calibri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sz w:val="20"/>
                <w:szCs w:val="20"/>
              </w:rPr>
            </w:pPr>
            <w:r>
              <w:rPr>
                <w:rFonts w:eastAsia="Times New Roman" w:ascii="Calibri" w:hAnsi="Calibri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67 [59-76]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66 [55-74]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0.55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Sex, female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6(27%)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60 (44%)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15(68%)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91(66%)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0.94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Dyslipidemia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 (27%)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36 (26%)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1.00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Atrial Fibrillation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10 (45%)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41 (30%)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0.18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7 (32%)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34 (25%)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0.50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Intravenous Alteplase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5(23%)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57 (41%)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Systolic Blood Pressure (mmHg)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161 [134-181]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157 [130-180]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0.63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NIHSS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17[9-23]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16 [11-22]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0.76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NCCT ASPECTS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8[6-10]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9 [7-10]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0.18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Last-normal to Puncture (hrs)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7.7[3.1-11.1]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6.5 [3.8-12.1]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0.80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Tandem Occlusions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1(5%)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8 (6%)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0.81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Type of Presentation (by vessel)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sz w:val="20"/>
                <w:szCs w:val="20"/>
              </w:rPr>
            </w:pPr>
            <w:r>
              <w:rPr>
                <w:rFonts w:eastAsia="Times New Roman" w:ascii="Calibri" w:hAnsi="Calibri"/>
                <w:sz w:val="20"/>
                <w:szCs w:val="20"/>
              </w:rPr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sz w:val="20"/>
                <w:szCs w:val="20"/>
              </w:rPr>
            </w:pPr>
            <w:r>
              <w:rPr>
                <w:rFonts w:eastAsia="Times New Roman" w:ascii="Calibri" w:hAnsi="Calibri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sz w:val="20"/>
                <w:szCs w:val="20"/>
              </w:rPr>
            </w:pPr>
            <w:r>
              <w:rPr>
                <w:rFonts w:eastAsia="Times New Roman" w:ascii="Calibri" w:hAnsi="Calibri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Isolated Distal Occlusion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11(44%)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59 (41%)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0.82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Distal Plus Other Larger Occlusion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7(28%)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15 (10%)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color w:val="000000"/>
                <w:sz w:val="22"/>
                <w:szCs w:val="22"/>
              </w:rPr>
              <w:t>0.02</w:t>
            </w:r>
          </w:p>
        </w:tc>
      </w:tr>
      <w:tr>
        <w:trPr>
          <w:trHeight w:val="300" w:hRule="atLeast"/>
        </w:trPr>
        <w:tc>
          <w:tcPr>
            <w:tcW w:w="34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Emboli to New Territory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1(4%)</w:t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10 (7%)</w:t>
            </w:r>
          </w:p>
        </w:tc>
        <w:tc>
          <w:tcPr>
            <w:tcW w:w="1701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0.58</w:t>
            </w:r>
          </w:p>
        </w:tc>
      </w:tr>
      <w:tr>
        <w:trPr>
          <w:trHeight w:val="300" w:hRule="atLeast"/>
        </w:trPr>
        <w:tc>
          <w:tcPr>
            <w:tcW w:w="343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Emboli to Same Territory</w:t>
            </w:r>
          </w:p>
        </w:tc>
        <w:tc>
          <w:tcPr>
            <w:tcW w:w="283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 (25%)</w:t>
            </w:r>
          </w:p>
        </w:tc>
        <w:tc>
          <w:tcPr>
            <w:tcW w:w="184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60 (41%)</w:t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Legend: NIHSS: National Institutes of Health Stroke Scale; CBF: cerebral blood flow; NCCT: non-contrast CT; ASPECTS: Alberta Stroke Program Early CT Score.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*25 vessels were treated in 22 patients in the mini pin group and 144 vessels in 137 patients in the 3MAX or Trevo group.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Cambria" w:hAnsi="Cambria"/>
          <w:b/>
        </w:rPr>
        <w:t>Supplemental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Table </w:t>
      </w:r>
      <w:r>
        <w:rPr>
          <w:rFonts w:ascii="Calibri" w:hAnsi="Calibri"/>
          <w:b/>
        </w:rPr>
        <w:t>2:</w:t>
      </w:r>
      <w:r>
        <w:rPr>
          <w:rFonts w:ascii="Calibri" w:hAnsi="Calibri"/>
        </w:rPr>
        <w:t xml:space="preserve"> Distal Occlusion Site Characteristics by Vessel</w:t>
      </w:r>
    </w:p>
    <w:p>
      <w:pPr>
        <w:pStyle w:val="Normal"/>
        <w:rPr/>
      </w:pPr>
      <w:r>
        <w:rPr/>
      </w:r>
    </w:p>
    <w:tbl>
      <w:tblPr>
        <w:tblW w:w="8681" w:type="dxa"/>
        <w:jc w:val="left"/>
        <w:tblInd w:w="109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1560"/>
        <w:gridCol w:w="2126"/>
        <w:gridCol w:w="1702"/>
      </w:tblGrid>
      <w:tr>
        <w:trPr>
          <w:trHeight w:val="300" w:hRule="atLeast"/>
        </w:trPr>
        <w:tc>
          <w:tcPr>
            <w:tcW w:w="3293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BEMP</w:t>
            </w:r>
          </w:p>
        </w:tc>
        <w:tc>
          <w:tcPr>
            <w:tcW w:w="2126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Standard techniques</w:t>
            </w:r>
          </w:p>
        </w:tc>
        <w:tc>
          <w:tcPr>
            <w:tcW w:w="1702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>
        <w:trPr>
          <w:trHeight w:val="300" w:hRule="atLeast"/>
        </w:trPr>
        <w:tc>
          <w:tcPr>
            <w:tcW w:w="329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n=25</w:t>
            </w:r>
          </w:p>
        </w:tc>
        <w:tc>
          <w:tcPr>
            <w:tcW w:w="212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n=144</w:t>
            </w:r>
          </w:p>
        </w:tc>
        <w:tc>
          <w:tcPr>
            <w:tcW w:w="1702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Distal Occlusion Site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61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MCA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22(88%)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108 (75%)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>
        <w:trPr>
          <w:trHeight w:val="271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3(12%)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26 (18%)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0.46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PCA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10 (7%)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MCA Segments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Proximal/Mid M2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3(14%)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29 (27%)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Distal M2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8(36%)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50 (46%)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0.39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11(50%)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29 (27%)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color w:val="000000"/>
                <w:sz w:val="22"/>
                <w:szCs w:val="22"/>
              </w:rPr>
              <w:t>0.03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MCA Divisions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Inferior Division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11(50%)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69 (64%)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0.22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Superior Division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11(50%)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36 (33%)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Middle Division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3 (3%)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0.47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ACA Segments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ACA A1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 (4%)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0.68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ACA A2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1(33%)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11 (42%)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0.51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ACA A3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2(66%)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14 (54%)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0.79</w:t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Distal Occlusion Size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29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val="pt-BR"/>
              </w:rPr>
              <w:t>Vessel Diameter (Pre Clot) mm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</w:rPr>
              <w:t>1.5[1.4-1.7]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1.5 [1.4-1.8]</w:t>
            </w:r>
          </w:p>
        </w:tc>
        <w:tc>
          <w:tcPr>
            <w:tcW w:w="1702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</w:rPr>
              <w:t>0.76</w:t>
            </w:r>
          </w:p>
        </w:tc>
      </w:tr>
      <w:tr>
        <w:trPr>
          <w:trHeight w:val="300" w:hRule="atLeast"/>
        </w:trPr>
        <w:tc>
          <w:tcPr>
            <w:tcW w:w="329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Vessel Diameter (Post Clot) mm</w:t>
            </w:r>
          </w:p>
        </w:tc>
        <w:tc>
          <w:tcPr>
            <w:tcW w:w="156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1.3[1-1.5]</w:t>
            </w:r>
          </w:p>
        </w:tc>
        <w:tc>
          <w:tcPr>
            <w:tcW w:w="212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1.2 [1.0-1.4]</w:t>
            </w:r>
          </w:p>
        </w:tc>
        <w:tc>
          <w:tcPr>
            <w:tcW w:w="1702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0.73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Legend: MCA: middle cerebral artery; ACA: anterior cerebral artery; PCA: posterior cerebral artery; P2+: PCA P2 segment or distal.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Cambria" w:hAnsi="Cambria"/>
          <w:b/>
        </w:rPr>
        <w:t>Supplemental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Table </w:t>
      </w:r>
      <w:r>
        <w:rPr>
          <w:rFonts w:ascii="Calibri" w:hAnsi="Calibri"/>
          <w:b/>
        </w:rPr>
        <w:t>3:</w:t>
      </w:r>
      <w:r>
        <w:rPr>
          <w:rFonts w:ascii="Calibri" w:hAnsi="Calibri"/>
        </w:rPr>
        <w:t xml:space="preserve"> Procedural, Radiological and Clinical Outcomes.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470" w:type="dxa"/>
        <w:jc w:val="left"/>
        <w:tblInd w:w="109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1350"/>
        <w:gridCol w:w="1440"/>
        <w:gridCol w:w="1081"/>
      </w:tblGrid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BEMP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Standard Techniques</w:t>
            </w:r>
          </w:p>
        </w:tc>
        <w:tc>
          <w:tcPr>
            <w:tcW w:w="1081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N=25</w:t>
            </w:r>
          </w:p>
        </w:tc>
        <w:tc>
          <w:tcPr>
            <w:tcW w:w="14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n=144</w:t>
            </w:r>
          </w:p>
        </w:tc>
        <w:tc>
          <w:tcPr>
            <w:tcW w:w="1081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Procedure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Balloon Guide Catheter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23(92%)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134 (93%)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0.99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Procedural Outcomes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Number of Passes (primary device)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1[1-1]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 [1-2]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First-Pass mTICI2b-3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</w:rPr>
              <w:t>20(80%)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81 (56%)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</w:rPr>
              <w:t>0.03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First-Pass mTICI3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15(60%)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58 (40%)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Final mTICI2b-3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21(84%)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114 (79%)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0.58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Final mTICI3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16(64%)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78 (54%)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0.36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Imaging Outcomes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Parenchymal Hematoma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7 (5%)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0.26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Subarachnoid Hemorrhage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3(12%)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9 (6%)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0.30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Arterial Spasm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11(44%)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52 (36%)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0.60</w:t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u w:val="single"/>
              </w:rPr>
              <w:t>Clinical Outcomes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Good Outcome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10/19(40%)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56/123 (45%)</w:t>
            </w:r>
          </w:p>
        </w:tc>
        <w:tc>
          <w:tcPr>
            <w:tcW w:w="1081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0.83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Mortality</w:t>
            </w:r>
          </w:p>
        </w:tc>
        <w:tc>
          <w:tcPr>
            <w:tcW w:w="13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4/19 (21%)</w:t>
            </w:r>
          </w:p>
        </w:tc>
        <w:tc>
          <w:tcPr>
            <w:tcW w:w="14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26/124 (21%)</w:t>
            </w:r>
          </w:p>
        </w:tc>
        <w:tc>
          <w:tcPr>
            <w:tcW w:w="1081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Legend: mTICI: modified TICI score</w:t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>*Mini-pin technique used as first line technique in 15 of 25 and as adjunct treatment in 10.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3</Pages>
  <Words>432</Words>
  <Characters>2291</Characters>
  <CharactersWithSpaces>2642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2019-07-25T17:01:28Z</dcterms:created>
  <dc:creator/>
  <dc:description/>
  <dc:language>en-IN</dc:language>
  <cp:lastModifiedBy/>
  <dcterms:modified xsi:type="dcterms:W3CDTF">2019-07-25T17:02:05Z</dcterms:modified>
  <cp:revision>1</cp:revision>
  <dc:subject/>
  <dc:title/>
</cp:coreProperties>
</file>