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31CA" w14:textId="77777777" w:rsidR="00B53F24" w:rsidRPr="00940884" w:rsidRDefault="00B53F24" w:rsidP="00B53F24">
      <w:pPr>
        <w:spacing w:line="480" w:lineRule="auto"/>
        <w:jc w:val="center"/>
        <w:rPr>
          <w:b/>
          <w:lang w:val="en-US"/>
        </w:rPr>
      </w:pPr>
      <w:r w:rsidRPr="00940884">
        <w:rPr>
          <w:b/>
          <w:bCs/>
          <w:lang w:val="en-US"/>
        </w:rPr>
        <w:t>Simplified selection criteria for patients with longer or unknown time to treatment predict good outcome after mechanical thrombectomy</w:t>
      </w:r>
    </w:p>
    <w:p w14:paraId="7DF8FDD4" w14:textId="77777777" w:rsidR="00B53F24" w:rsidRPr="00940884" w:rsidRDefault="00B53F24" w:rsidP="00B53F24">
      <w:pPr>
        <w:spacing w:line="480" w:lineRule="auto"/>
        <w:jc w:val="center"/>
        <w:rPr>
          <w:lang w:val="en-US"/>
        </w:rPr>
      </w:pPr>
    </w:p>
    <w:p w14:paraId="542E99FD" w14:textId="77777777" w:rsidR="00B53F24" w:rsidRPr="00940884" w:rsidRDefault="00B53F24" w:rsidP="00B53F24">
      <w:pPr>
        <w:spacing w:line="480" w:lineRule="auto"/>
        <w:jc w:val="center"/>
      </w:pPr>
      <w:r w:rsidRPr="00940884">
        <w:t xml:space="preserve">Simon Nagel MD* </w:t>
      </w:r>
      <w:r w:rsidRPr="00940884">
        <w:rPr>
          <w:vertAlign w:val="superscript"/>
        </w:rPr>
        <w:t>1</w:t>
      </w:r>
      <w:r w:rsidRPr="00940884">
        <w:t xml:space="preserve">, MD Christian Herweh MD* </w:t>
      </w:r>
      <w:r w:rsidRPr="00940884">
        <w:rPr>
          <w:vertAlign w:val="superscript"/>
        </w:rPr>
        <w:t>2</w:t>
      </w:r>
      <w:r w:rsidRPr="00940884">
        <w:t xml:space="preserve">, Johannes Pfaff </w:t>
      </w:r>
      <w:r w:rsidRPr="00940884">
        <w:rPr>
          <w:vertAlign w:val="superscript"/>
        </w:rPr>
        <w:t>2</w:t>
      </w:r>
      <w:r w:rsidRPr="00940884">
        <w:t xml:space="preserve">, Simon Schieber MD </w:t>
      </w:r>
      <w:r w:rsidRPr="00940884">
        <w:rPr>
          <w:vertAlign w:val="superscript"/>
        </w:rPr>
        <w:t>1</w:t>
      </w:r>
      <w:r w:rsidRPr="00940884">
        <w:t xml:space="preserve">, Silvia Schönenberger MD </w:t>
      </w:r>
      <w:r w:rsidRPr="00940884">
        <w:rPr>
          <w:vertAlign w:val="superscript"/>
        </w:rPr>
        <w:t>1</w:t>
      </w:r>
      <w:r w:rsidRPr="00940884">
        <w:t xml:space="preserve">, Markus A. Möhlenbruch MD </w:t>
      </w:r>
      <w:r w:rsidRPr="00940884">
        <w:rPr>
          <w:vertAlign w:val="superscript"/>
        </w:rPr>
        <w:t>2</w:t>
      </w:r>
      <w:r w:rsidRPr="00940884">
        <w:t xml:space="preserve">, Martin Bendszus MD </w:t>
      </w:r>
      <w:r w:rsidRPr="00940884">
        <w:rPr>
          <w:vertAlign w:val="superscript"/>
        </w:rPr>
        <w:t>2</w:t>
      </w:r>
      <w:r w:rsidRPr="00940884">
        <w:t xml:space="preserve">, </w:t>
      </w:r>
    </w:p>
    <w:p w14:paraId="1AD64F03" w14:textId="77777777" w:rsidR="00B53F24" w:rsidRPr="00940884" w:rsidRDefault="00B53F24" w:rsidP="00B53F24">
      <w:pPr>
        <w:spacing w:line="480" w:lineRule="auto"/>
        <w:jc w:val="center"/>
        <w:rPr>
          <w:lang w:val="en-US"/>
        </w:rPr>
      </w:pPr>
      <w:r w:rsidRPr="00940884">
        <w:rPr>
          <w:lang w:val="en-US"/>
        </w:rPr>
        <w:t xml:space="preserve">Peter A. Ringleb </w:t>
      </w:r>
      <w:r w:rsidRPr="00940884">
        <w:rPr>
          <w:vertAlign w:val="superscript"/>
          <w:lang w:val="en-US"/>
        </w:rPr>
        <w:t>1</w:t>
      </w:r>
    </w:p>
    <w:p w14:paraId="2AA1E03C" w14:textId="77777777" w:rsidR="00B53F24" w:rsidRPr="00940884" w:rsidRDefault="00B53F24" w:rsidP="00B53F24">
      <w:pPr>
        <w:spacing w:line="480" w:lineRule="auto"/>
        <w:jc w:val="center"/>
        <w:rPr>
          <w:lang w:val="en-US"/>
        </w:rPr>
      </w:pPr>
    </w:p>
    <w:p w14:paraId="1F2435D7" w14:textId="77777777" w:rsidR="00B53F24" w:rsidRPr="00940884" w:rsidRDefault="00B53F24" w:rsidP="00B53F24">
      <w:pPr>
        <w:spacing w:line="480" w:lineRule="auto"/>
        <w:jc w:val="center"/>
        <w:rPr>
          <w:lang w:val="en-US"/>
        </w:rPr>
      </w:pPr>
      <w:r w:rsidRPr="00940884">
        <w:rPr>
          <w:vertAlign w:val="superscript"/>
          <w:lang w:val="en-US"/>
        </w:rPr>
        <w:t>1</w:t>
      </w:r>
      <w:r w:rsidRPr="00940884">
        <w:rPr>
          <w:lang w:val="en-US"/>
        </w:rPr>
        <w:t xml:space="preserve"> Department of Neurology, University Hospital Heidelberg, Germany</w:t>
      </w:r>
    </w:p>
    <w:p w14:paraId="4B323CFD" w14:textId="77777777" w:rsidR="00B53F24" w:rsidRPr="00940884" w:rsidRDefault="00B53F24" w:rsidP="00B53F24">
      <w:pPr>
        <w:spacing w:line="480" w:lineRule="auto"/>
        <w:jc w:val="center"/>
        <w:rPr>
          <w:lang w:val="en-US"/>
        </w:rPr>
      </w:pPr>
      <w:r w:rsidRPr="00940884">
        <w:rPr>
          <w:vertAlign w:val="superscript"/>
          <w:lang w:val="en-US"/>
        </w:rPr>
        <w:t>2</w:t>
      </w:r>
      <w:r w:rsidRPr="00940884">
        <w:rPr>
          <w:lang w:val="en-US"/>
        </w:rPr>
        <w:t xml:space="preserve"> Department of Neuroradiology, University Hospital Heidelberg, Germany</w:t>
      </w:r>
    </w:p>
    <w:p w14:paraId="615AA57A" w14:textId="77777777" w:rsidR="00B53F24" w:rsidRPr="00940884" w:rsidRDefault="00B53F24" w:rsidP="00B53F24">
      <w:pPr>
        <w:spacing w:line="480" w:lineRule="auto"/>
        <w:jc w:val="center"/>
        <w:rPr>
          <w:lang w:val="en-US"/>
        </w:rPr>
      </w:pPr>
      <w:r w:rsidRPr="00940884">
        <w:rPr>
          <w:lang w:val="en-US"/>
        </w:rPr>
        <w:t>*these authors contributed equally</w:t>
      </w:r>
    </w:p>
    <w:p w14:paraId="6D8B24EA" w14:textId="77777777" w:rsidR="00655069" w:rsidRPr="00940884" w:rsidRDefault="00655069">
      <w:pPr>
        <w:rPr>
          <w:lang w:val="en-US"/>
        </w:rPr>
      </w:pPr>
    </w:p>
    <w:p w14:paraId="0E141EEB" w14:textId="77777777" w:rsidR="007F1AE0" w:rsidRPr="00940884" w:rsidRDefault="007F1AE0">
      <w:pPr>
        <w:rPr>
          <w:b/>
          <w:lang w:val="en-US"/>
        </w:rPr>
      </w:pPr>
    </w:p>
    <w:p w14:paraId="34F2E53A" w14:textId="77777777" w:rsidR="00B53F24" w:rsidRPr="00940884" w:rsidRDefault="00B53F24">
      <w:pPr>
        <w:rPr>
          <w:b/>
          <w:lang w:val="en-US"/>
        </w:rPr>
      </w:pPr>
      <w:r w:rsidRPr="00940884">
        <w:rPr>
          <w:b/>
          <w:lang w:val="en-US"/>
        </w:rPr>
        <w:t>Suppl. material</w:t>
      </w:r>
    </w:p>
    <w:p w14:paraId="6550C353" w14:textId="77777777" w:rsidR="00B53F24" w:rsidRPr="00940884" w:rsidRDefault="00B53F24">
      <w:pPr>
        <w:rPr>
          <w:lang w:val="en-US"/>
        </w:rPr>
      </w:pPr>
    </w:p>
    <w:p w14:paraId="66623E83" w14:textId="77777777" w:rsidR="00B53F24" w:rsidRPr="00940884" w:rsidRDefault="00B53F24">
      <w:pPr>
        <w:rPr>
          <w:lang w:val="en-US"/>
        </w:rPr>
      </w:pPr>
    </w:p>
    <w:p w14:paraId="62050EFD" w14:textId="77777777" w:rsidR="00B53F24" w:rsidRPr="00940884" w:rsidRDefault="007F1AE0">
      <w:pPr>
        <w:rPr>
          <w:b/>
          <w:lang w:val="en-US" w:bidi="en-US"/>
        </w:rPr>
      </w:pPr>
      <w:r w:rsidRPr="00940884">
        <w:rPr>
          <w:b/>
          <w:lang w:val="en-US" w:bidi="en-US"/>
        </w:rPr>
        <w:t>Local Imaging algorithms and treatment recommendations</w:t>
      </w:r>
    </w:p>
    <w:p w14:paraId="771CF339" w14:textId="77777777" w:rsidR="007F1AE0" w:rsidRPr="00940884" w:rsidRDefault="007F1AE0">
      <w:pPr>
        <w:rPr>
          <w:lang w:val="en-US" w:bidi="en-US"/>
        </w:rPr>
      </w:pPr>
    </w:p>
    <w:p w14:paraId="2CABC074" w14:textId="77777777" w:rsidR="00B53F24" w:rsidRPr="00940884" w:rsidRDefault="007F1AE0" w:rsidP="007F1AE0">
      <w:pPr>
        <w:spacing w:line="360" w:lineRule="auto"/>
        <w:jc w:val="both"/>
        <w:rPr>
          <w:lang w:val="en-US"/>
        </w:rPr>
      </w:pPr>
      <w:r w:rsidRPr="00940884">
        <w:rPr>
          <w:lang w:val="en-US"/>
        </w:rPr>
        <w:t>In general our local standard operation protocols (SOP) were following national and international guidelines for imaging and acute treatment of acute ischemic stroke patients. Due to participation in clinical trials (</w:t>
      </w:r>
      <w:proofErr w:type="spellStart"/>
      <w:r w:rsidRPr="00940884">
        <w:rPr>
          <w:lang w:val="en-US"/>
        </w:rPr>
        <w:t>f.e</w:t>
      </w:r>
      <w:proofErr w:type="spellEnd"/>
      <w:r w:rsidRPr="00940884">
        <w:rPr>
          <w:lang w:val="en-US"/>
        </w:rPr>
        <w:t xml:space="preserve">. ECASS 4 and WAKE-UP) and other local research projects, we performed more magnetic resonance imaging (MRI) </w:t>
      </w:r>
      <w:r w:rsidR="003C7AC6" w:rsidRPr="00940884">
        <w:rPr>
          <w:lang w:val="en-US"/>
        </w:rPr>
        <w:t>i</w:t>
      </w:r>
      <w:r w:rsidR="00B53F24" w:rsidRPr="00940884">
        <w:rPr>
          <w:lang w:val="en-US"/>
        </w:rPr>
        <w:t xml:space="preserve">n patients </w:t>
      </w:r>
      <w:r w:rsidR="003C7AC6" w:rsidRPr="00940884">
        <w:rPr>
          <w:lang w:val="en-US"/>
        </w:rPr>
        <w:t xml:space="preserve">and </w:t>
      </w:r>
      <w:r w:rsidR="00B53F24" w:rsidRPr="00940884">
        <w:rPr>
          <w:lang w:val="en-US"/>
        </w:rPr>
        <w:t>with longer or unknown time window</w:t>
      </w:r>
      <w:r w:rsidR="003C7AC6" w:rsidRPr="00940884">
        <w:rPr>
          <w:lang w:val="en-US"/>
        </w:rPr>
        <w:t>.</w:t>
      </w:r>
      <w:r w:rsidR="00B53F24" w:rsidRPr="00940884">
        <w:rPr>
          <w:lang w:val="en-US"/>
        </w:rPr>
        <w:t xml:space="preserve"> </w:t>
      </w:r>
      <w:r w:rsidR="003C7AC6" w:rsidRPr="00940884">
        <w:rPr>
          <w:lang w:val="en-US"/>
        </w:rPr>
        <w:t>MRI included</w:t>
      </w:r>
      <w:r w:rsidR="00B53F24" w:rsidRPr="00940884">
        <w:rPr>
          <w:lang w:val="en-US"/>
        </w:rPr>
        <w:t xml:space="preserve"> diffusion-weighted-imaging (DWI), MR-angiography</w:t>
      </w:r>
      <w:r w:rsidRPr="00940884">
        <w:rPr>
          <w:lang w:val="en-US"/>
        </w:rPr>
        <w:t xml:space="preserve"> (MRA) with Time-of-Flight (TOF) imaging and contrast-enhanced aortic arch MRA</w:t>
      </w:r>
      <w:r w:rsidR="00B53F24" w:rsidRPr="00940884">
        <w:rPr>
          <w:lang w:val="en-US"/>
        </w:rPr>
        <w:t>, fluid-attenuated-inversion-recovery (FLAIR) imaging and MR-perfusion (MRP) with a trend to perform less MR-imaging over the years. CT-perfusion (CTP) was recommended between 2014 and 2015 in all CT examined cases</w:t>
      </w:r>
      <w:r w:rsidR="003C7AC6" w:rsidRPr="00940884">
        <w:rPr>
          <w:lang w:val="en-US"/>
        </w:rPr>
        <w:t xml:space="preserve"> eligible for an acute recanalization therapy</w:t>
      </w:r>
      <w:r w:rsidR="00B53F24" w:rsidRPr="00940884">
        <w:rPr>
          <w:lang w:val="en-US"/>
        </w:rPr>
        <w:t>, but over the following years rather discouraged due to inconclusive findings in the early time windows.</w:t>
      </w:r>
      <w:r w:rsidRPr="00940884">
        <w:rPr>
          <w:lang w:val="en-US"/>
        </w:rPr>
        <w:t xml:space="preserve"> Importantly, treatment decisions were made by the physicians on call and patients could also be treated outside the current </w:t>
      </w:r>
      <w:r w:rsidR="00A33E2F" w:rsidRPr="00940884">
        <w:rPr>
          <w:lang w:val="en-US"/>
        </w:rPr>
        <w:t>guidelines</w:t>
      </w:r>
      <w:r w:rsidR="003C7AC6" w:rsidRPr="00940884">
        <w:rPr>
          <w:lang w:val="en-US"/>
        </w:rPr>
        <w:t xml:space="preserve"> or SOP recommendations</w:t>
      </w:r>
      <w:r w:rsidR="00A33E2F" w:rsidRPr="00940884">
        <w:rPr>
          <w:lang w:val="en-US"/>
        </w:rPr>
        <w:t>.</w:t>
      </w:r>
      <w:r w:rsidR="00AB7D64" w:rsidRPr="00940884">
        <w:rPr>
          <w:lang w:val="en-US"/>
        </w:rPr>
        <w:t xml:space="preserve"> Premorbid clinical disability was not necessarily on exclusion criterion for MT.</w:t>
      </w:r>
    </w:p>
    <w:p w14:paraId="5402E799" w14:textId="77777777" w:rsidR="00A33E2F" w:rsidRPr="00940884" w:rsidRDefault="00A33E2F" w:rsidP="007F1AE0">
      <w:pPr>
        <w:spacing w:line="360" w:lineRule="auto"/>
        <w:jc w:val="both"/>
        <w:rPr>
          <w:lang w:val="en-US" w:bidi="en-US"/>
        </w:rPr>
      </w:pPr>
      <w:r w:rsidRPr="00940884">
        <w:rPr>
          <w:lang w:val="en-US"/>
        </w:rPr>
        <w:t xml:space="preserve">An overview over our local SOPs </w:t>
      </w:r>
      <w:r w:rsidR="00547006" w:rsidRPr="00940884">
        <w:rPr>
          <w:lang w:val="en-US"/>
        </w:rPr>
        <w:t xml:space="preserve">for acute recanalization therapies in the anterior circulation </w:t>
      </w:r>
      <w:r w:rsidRPr="00940884">
        <w:rPr>
          <w:lang w:val="en-US"/>
        </w:rPr>
        <w:t>between 2014 and 2017 is given in the following diagrams.</w:t>
      </w:r>
    </w:p>
    <w:p w14:paraId="0E7BC109" w14:textId="77777777" w:rsidR="00B53F24" w:rsidRPr="00940884" w:rsidRDefault="00B53F24" w:rsidP="007F1AE0">
      <w:pPr>
        <w:spacing w:line="360" w:lineRule="auto"/>
        <w:jc w:val="both"/>
        <w:rPr>
          <w:lang w:val="en-US" w:bidi="en-US"/>
        </w:rPr>
      </w:pPr>
    </w:p>
    <w:p w14:paraId="3CA931B0" w14:textId="77777777" w:rsidR="00A640CF" w:rsidRPr="00940884" w:rsidRDefault="00A640CF">
      <w:pPr>
        <w:rPr>
          <w:b/>
          <w:lang w:val="en-US" w:bidi="en-US"/>
        </w:rPr>
      </w:pPr>
    </w:p>
    <w:p w14:paraId="41E4085A" w14:textId="77777777" w:rsidR="003111E4" w:rsidRPr="00940884" w:rsidRDefault="003111E4">
      <w:pPr>
        <w:rPr>
          <w:b/>
          <w:lang w:val="en-US" w:bidi="en-US"/>
        </w:rPr>
      </w:pPr>
    </w:p>
    <w:p w14:paraId="64212F3F" w14:textId="77777777" w:rsidR="003153B0" w:rsidRPr="00940884" w:rsidRDefault="003153B0" w:rsidP="003153B0">
      <w:pPr>
        <w:rPr>
          <w:b/>
          <w:lang w:val="en-US" w:bidi="en-US"/>
        </w:rPr>
      </w:pPr>
      <w:r w:rsidRPr="00940884">
        <w:rPr>
          <w:b/>
          <w:noProof/>
        </w:rPr>
        <w:lastRenderedPageBreak/>
        <w:drawing>
          <wp:inline distT="0" distB="0" distL="0" distR="0" wp14:anchorId="020348B3" wp14:editId="5308B984">
            <wp:extent cx="5511165" cy="44323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1165" cy="4432300"/>
                    </a:xfrm>
                    <a:prstGeom prst="rect">
                      <a:avLst/>
                    </a:prstGeom>
                    <a:noFill/>
                  </pic:spPr>
                </pic:pic>
              </a:graphicData>
            </a:graphic>
          </wp:inline>
        </w:drawing>
      </w:r>
    </w:p>
    <w:p w14:paraId="681E79D2" w14:textId="77777777" w:rsidR="003153B0" w:rsidRPr="00940884" w:rsidRDefault="003153B0" w:rsidP="003153B0">
      <w:pPr>
        <w:rPr>
          <w:b/>
          <w:lang w:val="en-US" w:bidi="en-US"/>
        </w:rPr>
      </w:pPr>
    </w:p>
    <w:p w14:paraId="743469BE" w14:textId="77777777" w:rsidR="003153B0" w:rsidRPr="00940884" w:rsidRDefault="003153B0" w:rsidP="003153B0">
      <w:pPr>
        <w:spacing w:line="360" w:lineRule="auto"/>
        <w:rPr>
          <w:b/>
          <w:lang w:val="en-US" w:bidi="en-US"/>
        </w:rPr>
      </w:pPr>
      <w:r w:rsidRPr="00940884">
        <w:rPr>
          <w:b/>
          <w:lang w:val="en-US" w:bidi="en-US"/>
        </w:rPr>
        <w:t>Figure S1: Local SOP in 2014 valid until July 2015)</w:t>
      </w:r>
    </w:p>
    <w:p w14:paraId="19C992EA" w14:textId="77777777" w:rsidR="003153B0" w:rsidRPr="00940884" w:rsidRDefault="003153B0" w:rsidP="003153B0">
      <w:pPr>
        <w:spacing w:line="360" w:lineRule="auto"/>
        <w:rPr>
          <w:lang w:val="en-US" w:bidi="en-US"/>
        </w:rPr>
      </w:pPr>
      <w:r w:rsidRPr="00940884">
        <w:rPr>
          <w:lang w:val="en-US" w:bidi="en-US"/>
        </w:rPr>
        <w:t xml:space="preserve">CCT = cranial computed tomography, </w:t>
      </w:r>
      <w:proofErr w:type="spellStart"/>
      <w:r w:rsidRPr="00940884">
        <w:rPr>
          <w:lang w:val="en-US" w:bidi="en-US"/>
        </w:rPr>
        <w:t>mCCT</w:t>
      </w:r>
      <w:proofErr w:type="spellEnd"/>
      <w:r w:rsidRPr="00940884">
        <w:rPr>
          <w:lang w:val="en-US" w:bidi="en-US"/>
        </w:rPr>
        <w:t xml:space="preserve"> = multimodal CCT including aortic arch CT-angiography and CT Perfusion, MRI = magnetic resonance imaging, ICH = intracranial hemorrhage</w:t>
      </w:r>
    </w:p>
    <w:p w14:paraId="6515DC45" w14:textId="77777777" w:rsidR="003153B0" w:rsidRPr="00940884" w:rsidRDefault="003153B0" w:rsidP="003153B0">
      <w:pPr>
        <w:spacing w:line="360" w:lineRule="auto"/>
        <w:rPr>
          <w:lang w:val="en-US" w:bidi="en-US"/>
        </w:rPr>
      </w:pPr>
      <w:r w:rsidRPr="00940884">
        <w:rPr>
          <w:vertAlign w:val="superscript"/>
          <w:lang w:val="en-US" w:bidi="en-US"/>
        </w:rPr>
        <w:t>1</w:t>
      </w:r>
      <w:r w:rsidRPr="00940884">
        <w:rPr>
          <w:lang w:val="en-US" w:bidi="en-US"/>
        </w:rPr>
        <w:t xml:space="preserve"> perform if large vessel occlusion is suspected (i.e. hyperdense MCA sign, NIHSS &gt;9)</w:t>
      </w:r>
    </w:p>
    <w:p w14:paraId="12B024ED" w14:textId="77777777" w:rsidR="003153B0" w:rsidRPr="00940884" w:rsidRDefault="003153B0" w:rsidP="003153B0">
      <w:pPr>
        <w:spacing w:line="360" w:lineRule="auto"/>
        <w:rPr>
          <w:lang w:val="en-US" w:bidi="en-US"/>
        </w:rPr>
      </w:pPr>
      <w:r w:rsidRPr="00940884">
        <w:rPr>
          <w:vertAlign w:val="superscript"/>
          <w:lang w:val="en-US" w:bidi="en-US"/>
        </w:rPr>
        <w:t>2</w:t>
      </w:r>
      <w:r w:rsidRPr="00940884">
        <w:rPr>
          <w:lang w:val="en-US" w:bidi="en-US"/>
        </w:rPr>
        <w:t xml:space="preserve"> think of ECASS4 and WAKE-Up trials</w:t>
      </w:r>
    </w:p>
    <w:p w14:paraId="0A85541E" w14:textId="77777777" w:rsidR="003153B0" w:rsidRPr="00940884" w:rsidRDefault="003153B0" w:rsidP="003153B0">
      <w:pPr>
        <w:spacing w:line="360" w:lineRule="auto"/>
        <w:rPr>
          <w:lang w:val="en-US" w:bidi="en-US"/>
        </w:rPr>
      </w:pPr>
      <w:r w:rsidRPr="00940884">
        <w:rPr>
          <w:vertAlign w:val="superscript"/>
          <w:lang w:val="en-US" w:bidi="en-US"/>
        </w:rPr>
        <w:t>3</w:t>
      </w:r>
      <w:r w:rsidRPr="00940884">
        <w:rPr>
          <w:lang w:val="en-US" w:bidi="en-US"/>
        </w:rPr>
        <w:t xml:space="preserve"> ASPECTS &gt; 5, infarct core &gt; 100ml</w:t>
      </w:r>
    </w:p>
    <w:p w14:paraId="37F8C955" w14:textId="77777777" w:rsidR="003153B0" w:rsidRPr="00940884" w:rsidRDefault="003153B0" w:rsidP="003153B0">
      <w:pPr>
        <w:spacing w:line="360" w:lineRule="auto"/>
        <w:rPr>
          <w:lang w:val="en-US" w:bidi="en-US"/>
        </w:rPr>
      </w:pPr>
      <w:r w:rsidRPr="00940884">
        <w:rPr>
          <w:vertAlign w:val="superscript"/>
          <w:lang w:val="en-US" w:bidi="en-US"/>
        </w:rPr>
        <w:t>4</w:t>
      </w:r>
      <w:r w:rsidRPr="00940884">
        <w:rPr>
          <w:lang w:val="en-US" w:bidi="en-US"/>
        </w:rPr>
        <w:t xml:space="preserve"> mismatch ratio &gt;1.2, &gt; 20ml in total (ECASS4 criteria)</w:t>
      </w:r>
    </w:p>
    <w:p w14:paraId="5E5091D3" w14:textId="77777777" w:rsidR="003153B0" w:rsidRPr="00940884" w:rsidRDefault="003153B0" w:rsidP="003153B0">
      <w:pPr>
        <w:spacing w:line="360" w:lineRule="auto"/>
        <w:rPr>
          <w:lang w:val="en-US" w:bidi="en-US"/>
        </w:rPr>
      </w:pPr>
      <w:r w:rsidRPr="00940884">
        <w:rPr>
          <w:vertAlign w:val="superscript"/>
          <w:lang w:val="en-US" w:bidi="en-US"/>
        </w:rPr>
        <w:t>5</w:t>
      </w:r>
      <w:r w:rsidRPr="00940884">
        <w:rPr>
          <w:lang w:val="en-US" w:bidi="en-US"/>
        </w:rPr>
        <w:t xml:space="preserve"> if there are no contraindications</w:t>
      </w:r>
    </w:p>
    <w:p w14:paraId="53F74496" w14:textId="77777777" w:rsidR="003153B0" w:rsidRPr="00940884" w:rsidRDefault="003153B0" w:rsidP="003153B0">
      <w:pPr>
        <w:spacing w:line="360" w:lineRule="auto"/>
        <w:rPr>
          <w:lang w:val="en-US" w:bidi="en-US"/>
        </w:rPr>
      </w:pPr>
      <w:r w:rsidRPr="00940884">
        <w:rPr>
          <w:vertAlign w:val="superscript"/>
          <w:lang w:val="en-US" w:bidi="en-US"/>
        </w:rPr>
        <w:t>6</w:t>
      </w:r>
      <w:r w:rsidRPr="00940884">
        <w:rPr>
          <w:lang w:val="en-US" w:bidi="en-US"/>
        </w:rPr>
        <w:t xml:space="preserve"> internal carotid artery, M1, dominant M2</w:t>
      </w:r>
    </w:p>
    <w:p w14:paraId="500F0EC6" w14:textId="77777777" w:rsidR="003153B0" w:rsidRPr="00940884" w:rsidRDefault="003153B0" w:rsidP="003153B0">
      <w:pPr>
        <w:rPr>
          <w:lang w:val="en-US" w:bidi="en-US"/>
        </w:rPr>
      </w:pPr>
      <w:r w:rsidRPr="00940884">
        <w:rPr>
          <w:lang w:val="en-US" w:bidi="en-US"/>
        </w:rPr>
        <w:br w:type="page"/>
      </w:r>
    </w:p>
    <w:p w14:paraId="6CB6AB6D" w14:textId="77777777" w:rsidR="003153B0" w:rsidRPr="00940884" w:rsidRDefault="003153B0" w:rsidP="003153B0">
      <w:pPr>
        <w:spacing w:line="360" w:lineRule="auto"/>
        <w:jc w:val="center"/>
        <w:rPr>
          <w:lang w:val="en-US" w:bidi="en-US"/>
        </w:rPr>
      </w:pPr>
      <w:r w:rsidRPr="00940884">
        <w:rPr>
          <w:noProof/>
        </w:rPr>
        <w:lastRenderedPageBreak/>
        <w:drawing>
          <wp:inline distT="0" distB="0" distL="0" distR="0" wp14:anchorId="10C1E988" wp14:editId="7A28B216">
            <wp:extent cx="6450330" cy="4578350"/>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0330" cy="4578350"/>
                    </a:xfrm>
                    <a:prstGeom prst="rect">
                      <a:avLst/>
                    </a:prstGeom>
                    <a:noFill/>
                  </pic:spPr>
                </pic:pic>
              </a:graphicData>
            </a:graphic>
          </wp:inline>
        </w:drawing>
      </w:r>
    </w:p>
    <w:p w14:paraId="36DB6B36" w14:textId="77777777" w:rsidR="003153B0" w:rsidRPr="00940884" w:rsidRDefault="003153B0" w:rsidP="003153B0">
      <w:pPr>
        <w:spacing w:line="360" w:lineRule="auto"/>
        <w:rPr>
          <w:b/>
          <w:lang w:val="en-US" w:bidi="en-US"/>
        </w:rPr>
      </w:pPr>
      <w:r w:rsidRPr="00940884">
        <w:rPr>
          <w:b/>
          <w:lang w:val="en-US" w:bidi="en-US"/>
        </w:rPr>
        <w:t>Figure S2: Local SOP valid until April 2017</w:t>
      </w:r>
    </w:p>
    <w:p w14:paraId="1AACBEC7" w14:textId="77777777" w:rsidR="003153B0" w:rsidRPr="00940884" w:rsidRDefault="003153B0" w:rsidP="003153B0">
      <w:pPr>
        <w:spacing w:line="360" w:lineRule="auto"/>
        <w:rPr>
          <w:lang w:val="en-US" w:bidi="en-US"/>
        </w:rPr>
      </w:pPr>
      <w:proofErr w:type="spellStart"/>
      <w:r w:rsidRPr="00940884">
        <w:rPr>
          <w:lang w:val="en-US" w:bidi="en-US"/>
        </w:rPr>
        <w:t>mCCT</w:t>
      </w:r>
      <w:proofErr w:type="spellEnd"/>
      <w:r w:rsidRPr="00940884">
        <w:rPr>
          <w:lang w:val="en-US" w:bidi="en-US"/>
        </w:rPr>
        <w:t xml:space="preserve"> = multimodal </w:t>
      </w:r>
      <w:proofErr w:type="gramStart"/>
      <w:r w:rsidRPr="00940884">
        <w:rPr>
          <w:lang w:val="en-US" w:bidi="en-US"/>
        </w:rPr>
        <w:t>cranial  computed</w:t>
      </w:r>
      <w:proofErr w:type="gramEnd"/>
      <w:r w:rsidRPr="00940884">
        <w:rPr>
          <w:lang w:val="en-US" w:bidi="en-US"/>
        </w:rPr>
        <w:t xml:space="preserve"> tomography including aortic arch CT-angiography and CT Perfusion, MRI = magnetic resonance imaging, ICH = intracranial hemorrhage, y = yes, n = no</w:t>
      </w:r>
    </w:p>
    <w:p w14:paraId="701F88B2" w14:textId="77777777" w:rsidR="003153B0" w:rsidRPr="00940884" w:rsidRDefault="003153B0" w:rsidP="003153B0">
      <w:pPr>
        <w:spacing w:line="360" w:lineRule="auto"/>
        <w:rPr>
          <w:lang w:val="en-US" w:bidi="en-US"/>
        </w:rPr>
      </w:pPr>
      <w:r w:rsidRPr="00940884">
        <w:rPr>
          <w:vertAlign w:val="superscript"/>
          <w:lang w:val="en-US" w:bidi="en-US"/>
        </w:rPr>
        <w:t xml:space="preserve">1 </w:t>
      </w:r>
      <w:r w:rsidRPr="00940884">
        <w:rPr>
          <w:lang w:val="en-US" w:bidi="en-US"/>
        </w:rPr>
        <w:t>perform in all patients in whom an acute recanalization therapy is considered</w:t>
      </w:r>
    </w:p>
    <w:p w14:paraId="04CBFB8B" w14:textId="77777777" w:rsidR="003153B0" w:rsidRPr="00940884" w:rsidRDefault="003153B0" w:rsidP="003153B0">
      <w:pPr>
        <w:spacing w:line="360" w:lineRule="auto"/>
        <w:rPr>
          <w:lang w:val="en-US" w:bidi="en-US"/>
        </w:rPr>
      </w:pPr>
      <w:r w:rsidRPr="00940884">
        <w:rPr>
          <w:vertAlign w:val="superscript"/>
          <w:lang w:val="en-US" w:bidi="en-US"/>
        </w:rPr>
        <w:t>2</w:t>
      </w:r>
      <w:r w:rsidRPr="00940884">
        <w:rPr>
          <w:lang w:val="en-US" w:bidi="en-US"/>
        </w:rPr>
        <w:t xml:space="preserve"> include MR perfusion and aortic arch MR-angiography</w:t>
      </w:r>
    </w:p>
    <w:p w14:paraId="207DC61C" w14:textId="77777777" w:rsidR="003153B0" w:rsidRPr="00940884" w:rsidRDefault="003153B0" w:rsidP="003153B0">
      <w:pPr>
        <w:spacing w:line="360" w:lineRule="auto"/>
        <w:rPr>
          <w:lang w:val="en-US" w:bidi="en-US"/>
        </w:rPr>
      </w:pPr>
      <w:r w:rsidRPr="00940884">
        <w:rPr>
          <w:vertAlign w:val="superscript"/>
          <w:lang w:val="en-US" w:bidi="en-US"/>
        </w:rPr>
        <w:t>3</w:t>
      </w:r>
      <w:r w:rsidRPr="00940884">
        <w:rPr>
          <w:lang w:val="en-US" w:bidi="en-US"/>
        </w:rPr>
        <w:t xml:space="preserve"> ASPECTS &gt; 5, infarct core &gt; 100ml</w:t>
      </w:r>
    </w:p>
    <w:p w14:paraId="1425E602" w14:textId="77777777" w:rsidR="003153B0" w:rsidRPr="00940884" w:rsidRDefault="003153B0" w:rsidP="003153B0">
      <w:pPr>
        <w:spacing w:line="360" w:lineRule="auto"/>
        <w:rPr>
          <w:lang w:val="en-US" w:bidi="en-US"/>
        </w:rPr>
      </w:pPr>
      <w:r w:rsidRPr="00940884">
        <w:rPr>
          <w:vertAlign w:val="superscript"/>
          <w:lang w:val="en-US" w:bidi="en-US"/>
        </w:rPr>
        <w:t xml:space="preserve">4 </w:t>
      </w:r>
      <w:r w:rsidRPr="00940884">
        <w:rPr>
          <w:lang w:val="en-US" w:bidi="en-US"/>
        </w:rPr>
        <w:t xml:space="preserve">internal carotid artery, M1, dominant M2 </w:t>
      </w:r>
    </w:p>
    <w:p w14:paraId="0CF5994C" w14:textId="77777777" w:rsidR="003153B0" w:rsidRPr="00940884" w:rsidRDefault="003153B0" w:rsidP="003153B0">
      <w:pPr>
        <w:spacing w:line="360" w:lineRule="auto"/>
        <w:rPr>
          <w:lang w:val="en-US" w:bidi="en-US"/>
        </w:rPr>
      </w:pPr>
      <w:r w:rsidRPr="00940884">
        <w:rPr>
          <w:vertAlign w:val="superscript"/>
          <w:lang w:val="en-US" w:bidi="en-US"/>
        </w:rPr>
        <w:t>5</w:t>
      </w:r>
      <w:r w:rsidRPr="00940884">
        <w:rPr>
          <w:lang w:val="en-US" w:bidi="en-US"/>
        </w:rPr>
        <w:t xml:space="preserve"> if there are no contraindications</w:t>
      </w:r>
    </w:p>
    <w:p w14:paraId="45069F6C" w14:textId="77777777" w:rsidR="003153B0" w:rsidRPr="00940884" w:rsidRDefault="003153B0" w:rsidP="003153B0">
      <w:pPr>
        <w:rPr>
          <w:lang w:val="en-US" w:bidi="en-US"/>
        </w:rPr>
      </w:pPr>
      <w:r w:rsidRPr="00940884">
        <w:rPr>
          <w:lang w:val="en-US" w:bidi="en-US"/>
        </w:rPr>
        <w:br w:type="page"/>
      </w:r>
    </w:p>
    <w:p w14:paraId="2A1ECF86" w14:textId="77777777" w:rsidR="003153B0" w:rsidRPr="00940884" w:rsidRDefault="003153B0" w:rsidP="003153B0">
      <w:pPr>
        <w:spacing w:line="360" w:lineRule="auto"/>
        <w:rPr>
          <w:lang w:val="en-US" w:bidi="en-US"/>
        </w:rPr>
      </w:pPr>
      <w:r w:rsidRPr="00940884">
        <w:rPr>
          <w:noProof/>
        </w:rPr>
        <w:lastRenderedPageBreak/>
        <w:drawing>
          <wp:inline distT="0" distB="0" distL="0" distR="0" wp14:anchorId="0644F23A" wp14:editId="1E0D54D8">
            <wp:extent cx="6741310" cy="3530010"/>
            <wp:effectExtent l="0" t="0" r="254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2905" cy="3536081"/>
                    </a:xfrm>
                    <a:prstGeom prst="rect">
                      <a:avLst/>
                    </a:prstGeom>
                    <a:noFill/>
                  </pic:spPr>
                </pic:pic>
              </a:graphicData>
            </a:graphic>
          </wp:inline>
        </w:drawing>
      </w:r>
    </w:p>
    <w:p w14:paraId="7B0C009F" w14:textId="77777777" w:rsidR="003153B0" w:rsidRPr="00940884" w:rsidRDefault="003153B0" w:rsidP="003153B0">
      <w:pPr>
        <w:spacing w:line="360" w:lineRule="auto"/>
        <w:rPr>
          <w:lang w:val="en-US" w:bidi="en-US"/>
        </w:rPr>
      </w:pPr>
    </w:p>
    <w:p w14:paraId="1680D5C4" w14:textId="77777777" w:rsidR="003153B0" w:rsidRPr="00940884" w:rsidRDefault="003153B0" w:rsidP="003153B0">
      <w:pPr>
        <w:spacing w:line="360" w:lineRule="auto"/>
        <w:rPr>
          <w:b/>
          <w:lang w:val="en-US" w:bidi="en-US"/>
        </w:rPr>
      </w:pPr>
      <w:r w:rsidRPr="00940884">
        <w:rPr>
          <w:b/>
          <w:lang w:val="en-US" w:bidi="en-US"/>
        </w:rPr>
        <w:t>Figure S2: Local SOP in valid from May 2017</w:t>
      </w:r>
    </w:p>
    <w:p w14:paraId="6795795F" w14:textId="77777777" w:rsidR="003153B0" w:rsidRPr="00940884" w:rsidRDefault="003153B0" w:rsidP="003153B0">
      <w:pPr>
        <w:spacing w:line="360" w:lineRule="auto"/>
        <w:rPr>
          <w:lang w:val="en-US" w:bidi="en-US"/>
        </w:rPr>
      </w:pPr>
      <w:r w:rsidRPr="00940884">
        <w:rPr>
          <w:lang w:val="en-US" w:bidi="en-US"/>
        </w:rPr>
        <w:t xml:space="preserve">CCT = </w:t>
      </w:r>
      <w:proofErr w:type="gramStart"/>
      <w:r w:rsidRPr="00940884">
        <w:rPr>
          <w:lang w:val="en-US" w:bidi="en-US"/>
        </w:rPr>
        <w:t>cranial  computed</w:t>
      </w:r>
      <w:proofErr w:type="gramEnd"/>
      <w:r w:rsidRPr="00940884">
        <w:rPr>
          <w:lang w:val="en-US" w:bidi="en-US"/>
        </w:rPr>
        <w:t xml:space="preserve"> tomography, CTA = CT-angiography, CTP =  CT Perfusion, MRI = magnetic resonance imaging, ICH = intracranial hemorrhage, y = yes, n = no</w:t>
      </w:r>
    </w:p>
    <w:p w14:paraId="6C5E220D" w14:textId="77777777" w:rsidR="003153B0" w:rsidRPr="00940884" w:rsidRDefault="003153B0" w:rsidP="003153B0">
      <w:pPr>
        <w:spacing w:line="360" w:lineRule="auto"/>
        <w:rPr>
          <w:lang w:val="en-US" w:bidi="en-US"/>
        </w:rPr>
      </w:pPr>
      <w:r w:rsidRPr="00940884">
        <w:rPr>
          <w:vertAlign w:val="superscript"/>
          <w:lang w:val="en-US" w:bidi="en-US"/>
        </w:rPr>
        <w:t>1</w:t>
      </w:r>
      <w:r w:rsidRPr="00940884">
        <w:rPr>
          <w:lang w:val="en-US" w:bidi="en-US"/>
        </w:rPr>
        <w:t xml:space="preserve"> especially when symptom onset is unclear</w:t>
      </w:r>
    </w:p>
    <w:p w14:paraId="724D462E" w14:textId="77777777" w:rsidR="003153B0" w:rsidRPr="00940884" w:rsidRDefault="003153B0" w:rsidP="003153B0">
      <w:pPr>
        <w:spacing w:line="360" w:lineRule="auto"/>
        <w:rPr>
          <w:lang w:val="en-US" w:bidi="en-US"/>
        </w:rPr>
      </w:pPr>
      <w:r w:rsidRPr="00940884">
        <w:rPr>
          <w:vertAlign w:val="superscript"/>
          <w:lang w:val="en-US" w:bidi="en-US"/>
        </w:rPr>
        <w:t>2</w:t>
      </w:r>
      <w:r w:rsidRPr="00940884">
        <w:rPr>
          <w:lang w:val="en-US" w:bidi="en-US"/>
        </w:rPr>
        <w:t xml:space="preserve"> include MR perfusion and aortic arch MR-angiography</w:t>
      </w:r>
    </w:p>
    <w:p w14:paraId="198A3D7D" w14:textId="77777777" w:rsidR="003153B0" w:rsidRPr="00940884" w:rsidRDefault="003153B0" w:rsidP="003153B0">
      <w:pPr>
        <w:spacing w:line="360" w:lineRule="auto"/>
        <w:rPr>
          <w:lang w:val="en-US" w:bidi="en-US"/>
        </w:rPr>
      </w:pPr>
      <w:r w:rsidRPr="00940884">
        <w:rPr>
          <w:vertAlign w:val="superscript"/>
          <w:lang w:val="en-US" w:bidi="en-US"/>
        </w:rPr>
        <w:t>3</w:t>
      </w:r>
      <w:r w:rsidRPr="00940884">
        <w:rPr>
          <w:lang w:val="en-US" w:bidi="en-US"/>
        </w:rPr>
        <w:t xml:space="preserve"> ASPECTS &gt; 5, infarct core &gt; 100ml</w:t>
      </w:r>
    </w:p>
    <w:p w14:paraId="676591BD" w14:textId="77777777" w:rsidR="003153B0" w:rsidRPr="00940884" w:rsidRDefault="003153B0" w:rsidP="003153B0">
      <w:pPr>
        <w:spacing w:line="360" w:lineRule="auto"/>
        <w:rPr>
          <w:lang w:val="en-US" w:bidi="en-US"/>
        </w:rPr>
      </w:pPr>
      <w:r w:rsidRPr="00940884">
        <w:rPr>
          <w:vertAlign w:val="superscript"/>
          <w:lang w:val="en-US" w:bidi="en-US"/>
        </w:rPr>
        <w:t xml:space="preserve">4 </w:t>
      </w:r>
      <w:r w:rsidRPr="00940884">
        <w:rPr>
          <w:lang w:val="en-US" w:bidi="en-US"/>
        </w:rPr>
        <w:t xml:space="preserve">internal carotid artery, M1, dominant M2 </w:t>
      </w:r>
    </w:p>
    <w:p w14:paraId="3E94FBBE" w14:textId="77777777" w:rsidR="003153B0" w:rsidRPr="00940884" w:rsidRDefault="003153B0" w:rsidP="003153B0">
      <w:pPr>
        <w:spacing w:line="360" w:lineRule="auto"/>
        <w:rPr>
          <w:lang w:val="en-US" w:bidi="en-US"/>
        </w:rPr>
      </w:pPr>
      <w:r w:rsidRPr="00940884">
        <w:rPr>
          <w:vertAlign w:val="superscript"/>
          <w:lang w:val="en-US" w:bidi="en-US"/>
        </w:rPr>
        <w:t>5</w:t>
      </w:r>
      <w:r w:rsidRPr="00940884">
        <w:rPr>
          <w:lang w:val="en-US" w:bidi="en-US"/>
        </w:rPr>
        <w:t xml:space="preserve"> if there are no contraindications</w:t>
      </w:r>
    </w:p>
    <w:p w14:paraId="748A7A11" w14:textId="77777777" w:rsidR="003153B0" w:rsidRPr="00940884" w:rsidRDefault="003153B0" w:rsidP="003153B0">
      <w:pPr>
        <w:spacing w:line="360" w:lineRule="auto"/>
        <w:jc w:val="both"/>
        <w:rPr>
          <w:lang w:val="en-US" w:bidi="en-US"/>
        </w:rPr>
      </w:pPr>
      <w:r w:rsidRPr="00940884">
        <w:rPr>
          <w:lang w:val="en-US" w:bidi="en-US"/>
        </w:rPr>
        <w:br w:type="page"/>
      </w:r>
    </w:p>
    <w:p w14:paraId="7F79DA67" w14:textId="77777777" w:rsidR="007F1AE0" w:rsidRPr="00940884" w:rsidRDefault="007F1AE0" w:rsidP="007F1AE0">
      <w:pPr>
        <w:spacing w:line="360" w:lineRule="auto"/>
        <w:jc w:val="both"/>
        <w:rPr>
          <w:b/>
          <w:lang w:val="en-US" w:bidi="en-US"/>
        </w:rPr>
      </w:pPr>
      <w:r w:rsidRPr="00940884">
        <w:rPr>
          <w:b/>
          <w:lang w:val="en-US" w:bidi="en-US"/>
        </w:rPr>
        <w:lastRenderedPageBreak/>
        <w:t>Additional analyses for patients not meeting the “</w:t>
      </w:r>
      <w:proofErr w:type="spellStart"/>
      <w:r w:rsidRPr="00940884">
        <w:rPr>
          <w:b/>
          <w:lang w:val="en-US" w:bidi="en-US"/>
        </w:rPr>
        <w:t>HERMESlike</w:t>
      </w:r>
      <w:proofErr w:type="spellEnd"/>
      <w:r w:rsidRPr="00940884">
        <w:rPr>
          <w:b/>
          <w:lang w:val="en-US" w:bidi="en-US"/>
        </w:rPr>
        <w:t>” inclusion criter</w:t>
      </w:r>
      <w:r w:rsidR="00F2509D" w:rsidRPr="00940884">
        <w:rPr>
          <w:b/>
          <w:lang w:val="en-US" w:bidi="en-US"/>
        </w:rPr>
        <w:t>i</w:t>
      </w:r>
      <w:r w:rsidRPr="00940884">
        <w:rPr>
          <w:b/>
          <w:lang w:val="en-US" w:bidi="en-US"/>
        </w:rPr>
        <w:t>a</w:t>
      </w:r>
    </w:p>
    <w:p w14:paraId="00BCA7EB" w14:textId="77777777" w:rsidR="00B53F24" w:rsidRPr="00940884" w:rsidRDefault="00547006" w:rsidP="007F1AE0">
      <w:pPr>
        <w:spacing w:line="360" w:lineRule="auto"/>
        <w:jc w:val="both"/>
        <w:rPr>
          <w:lang w:val="en-US" w:bidi="en-US"/>
        </w:rPr>
      </w:pPr>
      <w:r w:rsidRPr="00940884">
        <w:rPr>
          <w:lang w:val="en-US" w:bidi="en-US"/>
        </w:rPr>
        <w:t>Overall, in patients within the given time frame t</w:t>
      </w:r>
      <w:r w:rsidR="00B53F24" w:rsidRPr="00940884">
        <w:rPr>
          <w:lang w:val="en-US" w:bidi="en-US"/>
        </w:rPr>
        <w:t>he primary endpoint (</w:t>
      </w:r>
      <w:proofErr w:type="spellStart"/>
      <w:r w:rsidR="00B53F24" w:rsidRPr="00940884">
        <w:rPr>
          <w:lang w:val="en-US" w:bidi="en-US"/>
        </w:rPr>
        <w:t>mRS</w:t>
      </w:r>
      <w:proofErr w:type="spellEnd"/>
      <w:r w:rsidR="00B53F24" w:rsidRPr="00940884">
        <w:rPr>
          <w:lang w:val="en-US" w:bidi="en-US"/>
        </w:rPr>
        <w:t xml:space="preserve"> 0-2 after 90 days) was reached in 33.5% (252 patients), mortality was 22.5% (169) and </w:t>
      </w:r>
      <w:proofErr w:type="spellStart"/>
      <w:r w:rsidR="00B53F24" w:rsidRPr="00940884">
        <w:rPr>
          <w:lang w:val="en-US" w:bidi="en-US"/>
        </w:rPr>
        <w:t>sICH</w:t>
      </w:r>
      <w:proofErr w:type="spellEnd"/>
      <w:r w:rsidR="00B53F24" w:rsidRPr="00940884">
        <w:rPr>
          <w:lang w:val="en-US" w:bidi="en-US"/>
        </w:rPr>
        <w:t xml:space="preserve"> occurred in 4.5% (34). Two hundred thirty-eight patients (31.6%) were treated after 6h from last seen well</w:t>
      </w:r>
      <w:r w:rsidRPr="00940884">
        <w:rPr>
          <w:lang w:val="en-US" w:bidi="en-US"/>
        </w:rPr>
        <w:t xml:space="preserve"> and </w:t>
      </w:r>
      <w:r w:rsidR="00B53F24" w:rsidRPr="00940884">
        <w:rPr>
          <w:lang w:val="en-US" w:bidi="en-US"/>
        </w:rPr>
        <w:t>but the primary endpoint was not different to those treated earlier (33.2% vs. 33.7%, p=0.93).</w:t>
      </w:r>
    </w:p>
    <w:p w14:paraId="608297A5" w14:textId="77777777" w:rsidR="00547006" w:rsidRPr="00940884" w:rsidRDefault="00B96923" w:rsidP="007F1AE0">
      <w:pPr>
        <w:spacing w:line="360" w:lineRule="auto"/>
        <w:jc w:val="both"/>
        <w:rPr>
          <w:lang w:val="en-US" w:bidi="en-US"/>
        </w:rPr>
      </w:pPr>
      <w:r w:rsidRPr="00940884">
        <w:rPr>
          <w:lang w:val="en-US" w:bidi="en-US"/>
        </w:rPr>
        <w:t>In p</w:t>
      </w:r>
      <w:r w:rsidR="00547006" w:rsidRPr="00940884">
        <w:rPr>
          <w:lang w:val="en-US" w:bidi="en-US"/>
        </w:rPr>
        <w:t>atients that did not meet the</w:t>
      </w:r>
      <w:r w:rsidRPr="00940884">
        <w:rPr>
          <w:lang w:val="en-US" w:bidi="en-US"/>
        </w:rPr>
        <w:t xml:space="preserve"> </w:t>
      </w:r>
      <w:proofErr w:type="spellStart"/>
      <w:r w:rsidRPr="00940884">
        <w:rPr>
          <w:lang w:val="en-US" w:bidi="en-US"/>
        </w:rPr>
        <w:t>HERMESlike</w:t>
      </w:r>
      <w:proofErr w:type="spellEnd"/>
      <w:r w:rsidRPr="00940884">
        <w:rPr>
          <w:lang w:val="en-US" w:bidi="en-US"/>
        </w:rPr>
        <w:t xml:space="preserve"> inclusion criteria (n=362</w:t>
      </w:r>
      <w:r w:rsidR="00EA6D92" w:rsidRPr="00940884">
        <w:rPr>
          <w:lang w:val="en-US" w:bidi="en-US"/>
        </w:rPr>
        <w:t>)</w:t>
      </w:r>
      <w:r w:rsidRPr="00940884">
        <w:rPr>
          <w:lang w:val="en-US" w:bidi="en-US"/>
        </w:rPr>
        <w:t>, we performed additional analyses</w:t>
      </w:r>
      <w:r w:rsidR="00EA6D92" w:rsidRPr="00940884">
        <w:rPr>
          <w:lang w:val="en-US" w:bidi="en-US"/>
        </w:rPr>
        <w:t xml:space="preserve"> (table S1)</w:t>
      </w:r>
      <w:r w:rsidRPr="00940884">
        <w:rPr>
          <w:lang w:val="en-US" w:bidi="en-US"/>
        </w:rPr>
        <w:t xml:space="preserve">. In general, these patients were sicker than the </w:t>
      </w:r>
      <w:proofErr w:type="spellStart"/>
      <w:r w:rsidRPr="00940884">
        <w:rPr>
          <w:lang w:val="en-US" w:bidi="en-US"/>
        </w:rPr>
        <w:t>HERMESlike</w:t>
      </w:r>
      <w:proofErr w:type="spellEnd"/>
      <w:r w:rsidRPr="00940884">
        <w:rPr>
          <w:lang w:val="en-US" w:bidi="en-US"/>
        </w:rPr>
        <w:t xml:space="preserve"> patients because of higher frequencies of risk factors, higher premorbid disability and lower ASPECTS at baseline. Despite the fact that patients in the longer time window had significantly lower ASPECTS and lower </w:t>
      </w:r>
      <w:r w:rsidR="000D5E90" w:rsidRPr="00940884">
        <w:rPr>
          <w:lang w:val="en-US" w:bidi="en-US"/>
        </w:rPr>
        <w:t>recanalization rates (table S1), we still did not find a treatment modifying effect of treatment time, i.e. rates of good (</w:t>
      </w:r>
      <w:proofErr w:type="spellStart"/>
      <w:r w:rsidR="000D5E90" w:rsidRPr="00940884">
        <w:rPr>
          <w:lang w:val="en-US" w:bidi="en-US"/>
        </w:rPr>
        <w:t>mRS</w:t>
      </w:r>
      <w:proofErr w:type="spellEnd"/>
      <w:r w:rsidR="000D5E90" w:rsidRPr="00940884">
        <w:rPr>
          <w:lang w:val="en-US" w:bidi="en-US"/>
        </w:rPr>
        <w:t xml:space="preserve"> 0-2) and favorable (</w:t>
      </w:r>
      <w:proofErr w:type="spellStart"/>
      <w:r w:rsidR="000D5E90" w:rsidRPr="00940884">
        <w:rPr>
          <w:lang w:val="en-US" w:bidi="en-US"/>
        </w:rPr>
        <w:t>mRS</w:t>
      </w:r>
      <w:proofErr w:type="spellEnd"/>
      <w:r w:rsidR="000D5E90" w:rsidRPr="00940884">
        <w:rPr>
          <w:lang w:val="en-US" w:bidi="en-US"/>
        </w:rPr>
        <w:t xml:space="preserve"> 0-3) and well as death after three months </w:t>
      </w:r>
      <w:r w:rsidR="00AB7D64" w:rsidRPr="00940884">
        <w:rPr>
          <w:lang w:val="en-US" w:bidi="en-US"/>
        </w:rPr>
        <w:t xml:space="preserve">and </w:t>
      </w:r>
      <w:proofErr w:type="spellStart"/>
      <w:r w:rsidR="00AB7D64" w:rsidRPr="00940884">
        <w:rPr>
          <w:lang w:val="en-US" w:bidi="en-US"/>
        </w:rPr>
        <w:t>sICH</w:t>
      </w:r>
      <w:proofErr w:type="spellEnd"/>
      <w:r w:rsidR="00AB7D64" w:rsidRPr="00940884">
        <w:rPr>
          <w:lang w:val="en-US" w:bidi="en-US"/>
        </w:rPr>
        <w:t xml:space="preserve"> </w:t>
      </w:r>
      <w:r w:rsidR="000D5E90" w:rsidRPr="00940884">
        <w:rPr>
          <w:lang w:val="en-US" w:bidi="en-US"/>
        </w:rPr>
        <w:t>were not statistically different and very similar in both groups (table S1).</w:t>
      </w:r>
    </w:p>
    <w:p w14:paraId="0D007468" w14:textId="77777777" w:rsidR="00277405" w:rsidRPr="00940884" w:rsidRDefault="00277405">
      <w:pPr>
        <w:rPr>
          <w:lang w:val="en-US" w:bidi="en-US"/>
        </w:rPr>
      </w:pPr>
      <w:r w:rsidRPr="00940884">
        <w:rPr>
          <w:lang w:val="en-US" w:bidi="en-US"/>
        </w:rPr>
        <w:br w:type="page"/>
      </w:r>
    </w:p>
    <w:tbl>
      <w:tblPr>
        <w:tblStyle w:val="TableGrid"/>
        <w:tblW w:w="0" w:type="auto"/>
        <w:tblLook w:val="04A0" w:firstRow="1" w:lastRow="0" w:firstColumn="1" w:lastColumn="0" w:noHBand="0" w:noVBand="1"/>
      </w:tblPr>
      <w:tblGrid>
        <w:gridCol w:w="1842"/>
        <w:gridCol w:w="3653"/>
        <w:gridCol w:w="1417"/>
        <w:gridCol w:w="1418"/>
        <w:gridCol w:w="882"/>
      </w:tblGrid>
      <w:tr w:rsidR="00277405" w:rsidRPr="00940884" w14:paraId="746DE6B7" w14:textId="77777777" w:rsidTr="00F55B1D">
        <w:trPr>
          <w:trHeight w:val="470"/>
        </w:trPr>
        <w:tc>
          <w:tcPr>
            <w:tcW w:w="5495" w:type="dxa"/>
            <w:gridSpan w:val="2"/>
          </w:tcPr>
          <w:p w14:paraId="657E6217" w14:textId="77777777" w:rsidR="00277405" w:rsidRPr="00940884" w:rsidRDefault="00277405" w:rsidP="00F55B1D">
            <w:pPr>
              <w:spacing w:line="360" w:lineRule="auto"/>
              <w:jc w:val="both"/>
              <w:rPr>
                <w:b/>
                <w:sz w:val="20"/>
                <w:szCs w:val="20"/>
                <w:lang w:val="en-US"/>
              </w:rPr>
            </w:pPr>
            <w:r w:rsidRPr="00940884">
              <w:rPr>
                <w:b/>
                <w:sz w:val="20"/>
                <w:szCs w:val="20"/>
                <w:lang w:val="en-US"/>
              </w:rPr>
              <w:lastRenderedPageBreak/>
              <w:t>Parameters</w:t>
            </w:r>
          </w:p>
        </w:tc>
        <w:tc>
          <w:tcPr>
            <w:tcW w:w="1417" w:type="dxa"/>
          </w:tcPr>
          <w:p w14:paraId="3C8601EB" w14:textId="77777777" w:rsidR="00277405" w:rsidRPr="00940884" w:rsidRDefault="00277405" w:rsidP="00F55B1D">
            <w:pPr>
              <w:spacing w:line="360" w:lineRule="auto"/>
              <w:jc w:val="center"/>
              <w:rPr>
                <w:b/>
                <w:sz w:val="20"/>
                <w:szCs w:val="20"/>
                <w:lang w:val="en-US"/>
              </w:rPr>
            </w:pPr>
            <w:r w:rsidRPr="00940884">
              <w:rPr>
                <w:b/>
                <w:sz w:val="20"/>
                <w:szCs w:val="20"/>
                <w:lang w:val="en-US"/>
              </w:rPr>
              <w:t>LSW &lt; 6h</w:t>
            </w:r>
          </w:p>
          <w:p w14:paraId="7C046DFB" w14:textId="77777777" w:rsidR="00277405" w:rsidRPr="00940884" w:rsidRDefault="00277405" w:rsidP="00277405">
            <w:pPr>
              <w:spacing w:line="360" w:lineRule="auto"/>
              <w:jc w:val="center"/>
              <w:rPr>
                <w:b/>
                <w:sz w:val="20"/>
                <w:szCs w:val="20"/>
                <w:lang w:val="en-US"/>
              </w:rPr>
            </w:pPr>
            <w:r w:rsidRPr="00940884">
              <w:rPr>
                <w:b/>
                <w:sz w:val="20"/>
                <w:szCs w:val="20"/>
                <w:lang w:val="en-US"/>
              </w:rPr>
              <w:t>n=231</w:t>
            </w:r>
          </w:p>
        </w:tc>
        <w:tc>
          <w:tcPr>
            <w:tcW w:w="1418" w:type="dxa"/>
          </w:tcPr>
          <w:p w14:paraId="50FC3FAD" w14:textId="77777777" w:rsidR="00277405" w:rsidRPr="00940884" w:rsidRDefault="00277405" w:rsidP="00F55B1D">
            <w:pPr>
              <w:spacing w:line="360" w:lineRule="auto"/>
              <w:jc w:val="center"/>
              <w:rPr>
                <w:b/>
                <w:sz w:val="20"/>
                <w:szCs w:val="20"/>
                <w:lang w:val="en-US"/>
              </w:rPr>
            </w:pPr>
            <w:r w:rsidRPr="00940884">
              <w:rPr>
                <w:b/>
                <w:sz w:val="20"/>
                <w:szCs w:val="20"/>
                <w:lang w:val="en-US"/>
              </w:rPr>
              <w:t>LSW &gt; 6h</w:t>
            </w:r>
          </w:p>
          <w:p w14:paraId="7823B5AC" w14:textId="77777777" w:rsidR="00277405" w:rsidRPr="00940884" w:rsidRDefault="00277405" w:rsidP="00277405">
            <w:pPr>
              <w:spacing w:line="360" w:lineRule="auto"/>
              <w:jc w:val="center"/>
              <w:rPr>
                <w:b/>
                <w:sz w:val="20"/>
                <w:szCs w:val="20"/>
                <w:lang w:val="en-US"/>
              </w:rPr>
            </w:pPr>
            <w:r w:rsidRPr="00940884">
              <w:rPr>
                <w:b/>
                <w:sz w:val="20"/>
                <w:szCs w:val="20"/>
                <w:lang w:val="en-US"/>
              </w:rPr>
              <w:t>n=131</w:t>
            </w:r>
          </w:p>
        </w:tc>
        <w:tc>
          <w:tcPr>
            <w:tcW w:w="882" w:type="dxa"/>
          </w:tcPr>
          <w:p w14:paraId="0CFD81EC" w14:textId="77777777" w:rsidR="00277405" w:rsidRPr="00940884" w:rsidRDefault="00277405" w:rsidP="00F55B1D">
            <w:pPr>
              <w:spacing w:line="360" w:lineRule="auto"/>
              <w:jc w:val="center"/>
              <w:rPr>
                <w:b/>
                <w:sz w:val="20"/>
                <w:szCs w:val="20"/>
                <w:lang w:val="en-US"/>
              </w:rPr>
            </w:pPr>
            <w:r w:rsidRPr="00940884">
              <w:rPr>
                <w:b/>
                <w:sz w:val="20"/>
                <w:szCs w:val="20"/>
                <w:lang w:val="en-US"/>
              </w:rPr>
              <w:t>p-value</w:t>
            </w:r>
          </w:p>
        </w:tc>
      </w:tr>
      <w:tr w:rsidR="00277405" w:rsidRPr="00940884" w14:paraId="1F4FCAD0" w14:textId="77777777" w:rsidTr="00F55B1D">
        <w:tc>
          <w:tcPr>
            <w:tcW w:w="1842" w:type="dxa"/>
            <w:vMerge w:val="restart"/>
          </w:tcPr>
          <w:p w14:paraId="3738EC39" w14:textId="77777777" w:rsidR="00277405" w:rsidRPr="00940884" w:rsidRDefault="00277405" w:rsidP="00F55B1D">
            <w:pPr>
              <w:spacing w:line="360" w:lineRule="auto"/>
              <w:jc w:val="both"/>
              <w:rPr>
                <w:b/>
                <w:sz w:val="20"/>
                <w:szCs w:val="20"/>
                <w:lang w:val="en-US"/>
              </w:rPr>
            </w:pPr>
            <w:r w:rsidRPr="00940884">
              <w:rPr>
                <w:b/>
                <w:sz w:val="20"/>
                <w:szCs w:val="20"/>
                <w:lang w:val="en-US"/>
              </w:rPr>
              <w:t>Clinical baseline data</w:t>
            </w:r>
          </w:p>
        </w:tc>
        <w:tc>
          <w:tcPr>
            <w:tcW w:w="3653" w:type="dxa"/>
          </w:tcPr>
          <w:p w14:paraId="1DCB165C" w14:textId="77777777" w:rsidR="00277405" w:rsidRPr="00940884" w:rsidRDefault="0046690B" w:rsidP="0046690B">
            <w:pPr>
              <w:spacing w:line="360" w:lineRule="auto"/>
              <w:jc w:val="both"/>
              <w:rPr>
                <w:sz w:val="20"/>
                <w:szCs w:val="20"/>
                <w:lang w:val="en-US"/>
              </w:rPr>
            </w:pPr>
            <w:r w:rsidRPr="00940884">
              <w:rPr>
                <w:sz w:val="20"/>
                <w:szCs w:val="20"/>
                <w:lang w:val="en-US"/>
              </w:rPr>
              <w:t xml:space="preserve">Age in </w:t>
            </w:r>
            <w:r w:rsidR="00277405" w:rsidRPr="00940884">
              <w:rPr>
                <w:sz w:val="20"/>
                <w:szCs w:val="20"/>
                <w:lang w:val="en-US"/>
              </w:rPr>
              <w:t>years</w:t>
            </w:r>
            <w:r w:rsidRPr="00940884">
              <w:rPr>
                <w:sz w:val="20"/>
                <w:szCs w:val="20"/>
                <w:lang w:val="en-US"/>
              </w:rPr>
              <w:t>, median (min-max)</w:t>
            </w:r>
          </w:p>
        </w:tc>
        <w:tc>
          <w:tcPr>
            <w:tcW w:w="1417" w:type="dxa"/>
          </w:tcPr>
          <w:p w14:paraId="13257E1F" w14:textId="77777777" w:rsidR="00277405" w:rsidRPr="00940884" w:rsidRDefault="0046690B" w:rsidP="0046690B">
            <w:pPr>
              <w:spacing w:line="360" w:lineRule="auto"/>
              <w:jc w:val="center"/>
              <w:rPr>
                <w:sz w:val="20"/>
                <w:szCs w:val="20"/>
                <w:lang w:val="en-US"/>
              </w:rPr>
            </w:pPr>
            <w:r w:rsidRPr="00940884">
              <w:rPr>
                <w:sz w:val="20"/>
                <w:szCs w:val="20"/>
                <w:lang w:val="en-US"/>
              </w:rPr>
              <w:t>78</w:t>
            </w:r>
            <w:r w:rsidR="00277405" w:rsidRPr="00940884">
              <w:rPr>
                <w:sz w:val="20"/>
                <w:szCs w:val="20"/>
                <w:lang w:val="en-US"/>
              </w:rPr>
              <w:t xml:space="preserve"> (</w:t>
            </w:r>
            <w:r w:rsidRPr="00940884">
              <w:rPr>
                <w:sz w:val="20"/>
                <w:szCs w:val="20"/>
                <w:lang w:val="en-US"/>
              </w:rPr>
              <w:t>46-96</w:t>
            </w:r>
            <w:r w:rsidR="00277405" w:rsidRPr="00940884">
              <w:rPr>
                <w:sz w:val="20"/>
                <w:szCs w:val="20"/>
                <w:lang w:val="en-US"/>
              </w:rPr>
              <w:t>)</w:t>
            </w:r>
          </w:p>
        </w:tc>
        <w:tc>
          <w:tcPr>
            <w:tcW w:w="1418" w:type="dxa"/>
          </w:tcPr>
          <w:p w14:paraId="206435AB" w14:textId="77777777" w:rsidR="00277405" w:rsidRPr="00940884" w:rsidRDefault="00277405" w:rsidP="0046690B">
            <w:pPr>
              <w:spacing w:line="360" w:lineRule="auto"/>
              <w:jc w:val="center"/>
              <w:rPr>
                <w:sz w:val="20"/>
                <w:szCs w:val="20"/>
                <w:lang w:val="en-US"/>
              </w:rPr>
            </w:pPr>
            <w:r w:rsidRPr="00940884">
              <w:rPr>
                <w:sz w:val="20"/>
                <w:szCs w:val="20"/>
                <w:lang w:val="en-US"/>
              </w:rPr>
              <w:t>74 (</w:t>
            </w:r>
            <w:r w:rsidR="0046690B" w:rsidRPr="00940884">
              <w:rPr>
                <w:sz w:val="20"/>
                <w:szCs w:val="20"/>
                <w:lang w:val="en-US"/>
              </w:rPr>
              <w:t>46-91</w:t>
            </w:r>
            <w:r w:rsidRPr="00940884">
              <w:rPr>
                <w:sz w:val="20"/>
                <w:szCs w:val="20"/>
                <w:lang w:val="en-US"/>
              </w:rPr>
              <w:t>)</w:t>
            </w:r>
          </w:p>
        </w:tc>
        <w:tc>
          <w:tcPr>
            <w:tcW w:w="882" w:type="dxa"/>
          </w:tcPr>
          <w:p w14:paraId="3F6BA2C2" w14:textId="77777777" w:rsidR="00277405" w:rsidRPr="00940884" w:rsidRDefault="00277405" w:rsidP="0046690B">
            <w:pPr>
              <w:spacing w:line="360" w:lineRule="auto"/>
              <w:jc w:val="center"/>
              <w:rPr>
                <w:sz w:val="20"/>
                <w:szCs w:val="20"/>
                <w:lang w:val="en-US"/>
              </w:rPr>
            </w:pPr>
            <w:r w:rsidRPr="00940884">
              <w:rPr>
                <w:sz w:val="20"/>
                <w:szCs w:val="20"/>
                <w:lang w:val="en-US"/>
              </w:rPr>
              <w:t>0.</w:t>
            </w:r>
            <w:r w:rsidR="0046690B" w:rsidRPr="00940884">
              <w:rPr>
                <w:sz w:val="20"/>
                <w:szCs w:val="20"/>
                <w:lang w:val="en-US"/>
              </w:rPr>
              <w:t>22</w:t>
            </w:r>
            <w:r w:rsidRPr="00940884">
              <w:rPr>
                <w:sz w:val="20"/>
                <w:szCs w:val="20"/>
                <w:vertAlign w:val="superscript"/>
                <w:lang w:val="en-US"/>
              </w:rPr>
              <w:t>#</w:t>
            </w:r>
          </w:p>
        </w:tc>
      </w:tr>
      <w:tr w:rsidR="00277405" w:rsidRPr="00940884" w14:paraId="78B13F6C" w14:textId="77777777" w:rsidTr="00F55B1D">
        <w:tc>
          <w:tcPr>
            <w:tcW w:w="1842" w:type="dxa"/>
            <w:vMerge/>
          </w:tcPr>
          <w:p w14:paraId="53245B56" w14:textId="77777777" w:rsidR="00277405" w:rsidRPr="00940884" w:rsidRDefault="00277405" w:rsidP="00F55B1D">
            <w:pPr>
              <w:spacing w:line="360" w:lineRule="auto"/>
              <w:jc w:val="both"/>
              <w:rPr>
                <w:b/>
                <w:sz w:val="20"/>
                <w:szCs w:val="20"/>
                <w:lang w:val="en-US"/>
              </w:rPr>
            </w:pPr>
          </w:p>
        </w:tc>
        <w:tc>
          <w:tcPr>
            <w:tcW w:w="3653" w:type="dxa"/>
          </w:tcPr>
          <w:p w14:paraId="34D0E0EA" w14:textId="77777777" w:rsidR="00277405" w:rsidRPr="00940884" w:rsidRDefault="00277405" w:rsidP="00F55B1D">
            <w:pPr>
              <w:spacing w:line="360" w:lineRule="auto"/>
              <w:jc w:val="both"/>
              <w:rPr>
                <w:sz w:val="20"/>
                <w:szCs w:val="20"/>
                <w:lang w:val="en-US"/>
              </w:rPr>
            </w:pPr>
            <w:r w:rsidRPr="00940884">
              <w:rPr>
                <w:sz w:val="20"/>
                <w:szCs w:val="20"/>
                <w:lang w:val="en-US"/>
              </w:rPr>
              <w:t>Male Sex (%)</w:t>
            </w:r>
          </w:p>
        </w:tc>
        <w:tc>
          <w:tcPr>
            <w:tcW w:w="1417" w:type="dxa"/>
          </w:tcPr>
          <w:p w14:paraId="4C512F59" w14:textId="77777777" w:rsidR="00277405" w:rsidRPr="00940884" w:rsidRDefault="00277405" w:rsidP="00277405">
            <w:pPr>
              <w:spacing w:line="360" w:lineRule="auto"/>
              <w:jc w:val="center"/>
              <w:rPr>
                <w:sz w:val="20"/>
                <w:szCs w:val="20"/>
                <w:lang w:val="en-US"/>
              </w:rPr>
            </w:pPr>
            <w:r w:rsidRPr="00940884">
              <w:rPr>
                <w:sz w:val="20"/>
                <w:szCs w:val="20"/>
                <w:lang w:val="en-US"/>
              </w:rPr>
              <w:t>139 (60.2)</w:t>
            </w:r>
          </w:p>
        </w:tc>
        <w:tc>
          <w:tcPr>
            <w:tcW w:w="1418" w:type="dxa"/>
          </w:tcPr>
          <w:p w14:paraId="619247F7" w14:textId="77777777" w:rsidR="00277405" w:rsidRPr="00940884" w:rsidRDefault="00277405" w:rsidP="00277405">
            <w:pPr>
              <w:spacing w:line="360" w:lineRule="auto"/>
              <w:jc w:val="center"/>
              <w:rPr>
                <w:sz w:val="20"/>
                <w:szCs w:val="20"/>
                <w:lang w:val="en-US"/>
              </w:rPr>
            </w:pPr>
            <w:r w:rsidRPr="00940884">
              <w:rPr>
                <w:sz w:val="20"/>
                <w:szCs w:val="20"/>
                <w:lang w:val="en-US"/>
              </w:rPr>
              <w:t>76 (58)</w:t>
            </w:r>
          </w:p>
        </w:tc>
        <w:tc>
          <w:tcPr>
            <w:tcW w:w="882" w:type="dxa"/>
          </w:tcPr>
          <w:p w14:paraId="43DFB861" w14:textId="77777777" w:rsidR="00277405" w:rsidRPr="00940884" w:rsidRDefault="00277405" w:rsidP="00F55B1D">
            <w:pPr>
              <w:spacing w:line="360" w:lineRule="auto"/>
              <w:jc w:val="center"/>
              <w:rPr>
                <w:sz w:val="20"/>
                <w:szCs w:val="20"/>
                <w:lang w:val="en-US"/>
              </w:rPr>
            </w:pPr>
            <w:r w:rsidRPr="00940884">
              <w:rPr>
                <w:sz w:val="20"/>
                <w:szCs w:val="20"/>
                <w:lang w:val="en-US"/>
              </w:rPr>
              <w:t>0.74*</w:t>
            </w:r>
          </w:p>
        </w:tc>
      </w:tr>
      <w:tr w:rsidR="00277405" w:rsidRPr="00940884" w14:paraId="79399627" w14:textId="77777777" w:rsidTr="00F55B1D">
        <w:tc>
          <w:tcPr>
            <w:tcW w:w="1842" w:type="dxa"/>
            <w:vMerge/>
          </w:tcPr>
          <w:p w14:paraId="42DAF870" w14:textId="77777777" w:rsidR="00277405" w:rsidRPr="00940884" w:rsidRDefault="00277405" w:rsidP="00F55B1D">
            <w:pPr>
              <w:spacing w:line="360" w:lineRule="auto"/>
              <w:jc w:val="both"/>
              <w:rPr>
                <w:b/>
                <w:sz w:val="20"/>
                <w:szCs w:val="20"/>
                <w:lang w:val="en-US"/>
              </w:rPr>
            </w:pPr>
          </w:p>
        </w:tc>
        <w:tc>
          <w:tcPr>
            <w:tcW w:w="3653" w:type="dxa"/>
          </w:tcPr>
          <w:p w14:paraId="6579B13C" w14:textId="77777777" w:rsidR="00277405" w:rsidRPr="00940884" w:rsidRDefault="00277405" w:rsidP="00F55B1D">
            <w:pPr>
              <w:spacing w:line="360" w:lineRule="auto"/>
              <w:jc w:val="both"/>
              <w:rPr>
                <w:sz w:val="20"/>
                <w:szCs w:val="20"/>
                <w:lang w:val="en-US"/>
              </w:rPr>
            </w:pPr>
            <w:r w:rsidRPr="00940884">
              <w:rPr>
                <w:sz w:val="20"/>
                <w:szCs w:val="20"/>
                <w:lang w:val="en-US"/>
              </w:rPr>
              <w:t>Unwitnessed/Wake Up onset (%)</w:t>
            </w:r>
          </w:p>
        </w:tc>
        <w:tc>
          <w:tcPr>
            <w:tcW w:w="1417" w:type="dxa"/>
          </w:tcPr>
          <w:p w14:paraId="08912EC1" w14:textId="77777777" w:rsidR="00277405" w:rsidRPr="00940884" w:rsidRDefault="00277405" w:rsidP="00277405">
            <w:pPr>
              <w:spacing w:line="360" w:lineRule="auto"/>
              <w:jc w:val="center"/>
              <w:rPr>
                <w:sz w:val="20"/>
                <w:szCs w:val="20"/>
                <w:lang w:val="en-US"/>
              </w:rPr>
            </w:pPr>
            <w:r w:rsidRPr="00940884">
              <w:rPr>
                <w:sz w:val="20"/>
                <w:szCs w:val="20"/>
                <w:lang w:val="en-US"/>
              </w:rPr>
              <w:t>0 (0)</w:t>
            </w:r>
          </w:p>
        </w:tc>
        <w:tc>
          <w:tcPr>
            <w:tcW w:w="1418" w:type="dxa"/>
          </w:tcPr>
          <w:p w14:paraId="44BB616D" w14:textId="77777777" w:rsidR="00277405" w:rsidRPr="00940884" w:rsidRDefault="00277405" w:rsidP="00277405">
            <w:pPr>
              <w:spacing w:line="360" w:lineRule="auto"/>
              <w:jc w:val="center"/>
              <w:rPr>
                <w:sz w:val="20"/>
                <w:szCs w:val="20"/>
                <w:lang w:val="en-US"/>
              </w:rPr>
            </w:pPr>
            <w:r w:rsidRPr="00940884">
              <w:rPr>
                <w:sz w:val="20"/>
                <w:szCs w:val="20"/>
                <w:lang w:val="en-US"/>
              </w:rPr>
              <w:t>98 (74.8)</w:t>
            </w:r>
          </w:p>
        </w:tc>
        <w:tc>
          <w:tcPr>
            <w:tcW w:w="882" w:type="dxa"/>
          </w:tcPr>
          <w:p w14:paraId="63957F18" w14:textId="77777777" w:rsidR="00277405" w:rsidRPr="00940884" w:rsidRDefault="00277405" w:rsidP="00F55B1D">
            <w:pPr>
              <w:spacing w:line="360" w:lineRule="auto"/>
              <w:jc w:val="center"/>
              <w:rPr>
                <w:sz w:val="20"/>
                <w:szCs w:val="20"/>
                <w:lang w:val="en-US"/>
              </w:rPr>
            </w:pPr>
            <w:r w:rsidRPr="00940884">
              <w:rPr>
                <w:b/>
                <w:sz w:val="20"/>
                <w:szCs w:val="20"/>
                <w:lang w:val="en-US"/>
              </w:rPr>
              <w:t>&lt;0.001</w:t>
            </w:r>
            <w:r w:rsidRPr="00940884">
              <w:rPr>
                <w:sz w:val="20"/>
                <w:szCs w:val="20"/>
                <w:lang w:val="en-US"/>
              </w:rPr>
              <w:t>*</w:t>
            </w:r>
          </w:p>
        </w:tc>
      </w:tr>
      <w:tr w:rsidR="00277405" w:rsidRPr="00940884" w14:paraId="5929832F" w14:textId="77777777" w:rsidTr="00F55B1D">
        <w:tc>
          <w:tcPr>
            <w:tcW w:w="1842" w:type="dxa"/>
            <w:vMerge/>
          </w:tcPr>
          <w:p w14:paraId="31425F96" w14:textId="77777777" w:rsidR="00277405" w:rsidRPr="00940884" w:rsidRDefault="00277405" w:rsidP="00F55B1D">
            <w:pPr>
              <w:spacing w:line="360" w:lineRule="auto"/>
              <w:jc w:val="both"/>
              <w:rPr>
                <w:b/>
                <w:sz w:val="20"/>
                <w:szCs w:val="20"/>
                <w:lang w:val="en-US"/>
              </w:rPr>
            </w:pPr>
          </w:p>
        </w:tc>
        <w:tc>
          <w:tcPr>
            <w:tcW w:w="3653" w:type="dxa"/>
          </w:tcPr>
          <w:p w14:paraId="5A59DC6D" w14:textId="77777777" w:rsidR="00277405" w:rsidRPr="00940884" w:rsidRDefault="00277405" w:rsidP="00277405">
            <w:pPr>
              <w:spacing w:line="360" w:lineRule="auto"/>
              <w:jc w:val="both"/>
              <w:rPr>
                <w:sz w:val="20"/>
                <w:szCs w:val="20"/>
                <w:lang w:val="en-US"/>
              </w:rPr>
            </w:pPr>
            <w:r w:rsidRPr="00940884">
              <w:rPr>
                <w:sz w:val="20"/>
                <w:szCs w:val="20"/>
                <w:lang w:val="en-US"/>
              </w:rPr>
              <w:t>NIHSS, median (min-max)</w:t>
            </w:r>
          </w:p>
        </w:tc>
        <w:tc>
          <w:tcPr>
            <w:tcW w:w="1417" w:type="dxa"/>
          </w:tcPr>
          <w:p w14:paraId="446A20C2" w14:textId="77777777" w:rsidR="00277405" w:rsidRPr="00940884" w:rsidRDefault="00277405" w:rsidP="0046690B">
            <w:pPr>
              <w:spacing w:line="360" w:lineRule="auto"/>
              <w:jc w:val="center"/>
              <w:rPr>
                <w:sz w:val="20"/>
                <w:szCs w:val="20"/>
                <w:lang w:val="en-US"/>
              </w:rPr>
            </w:pPr>
            <w:r w:rsidRPr="00940884">
              <w:rPr>
                <w:sz w:val="20"/>
                <w:szCs w:val="20"/>
                <w:lang w:val="en-US"/>
              </w:rPr>
              <w:t>16 (</w:t>
            </w:r>
            <w:r w:rsidR="0046690B" w:rsidRPr="00940884">
              <w:rPr>
                <w:sz w:val="20"/>
                <w:szCs w:val="20"/>
                <w:lang w:val="en-US"/>
              </w:rPr>
              <w:t>0-38</w:t>
            </w:r>
            <w:r w:rsidRPr="00940884">
              <w:rPr>
                <w:sz w:val="20"/>
                <w:szCs w:val="20"/>
                <w:lang w:val="en-US"/>
              </w:rPr>
              <w:t>)</w:t>
            </w:r>
          </w:p>
        </w:tc>
        <w:tc>
          <w:tcPr>
            <w:tcW w:w="1418" w:type="dxa"/>
          </w:tcPr>
          <w:p w14:paraId="3677802E" w14:textId="77777777" w:rsidR="00277405" w:rsidRPr="00940884" w:rsidRDefault="0046690B" w:rsidP="0046690B">
            <w:pPr>
              <w:spacing w:line="360" w:lineRule="auto"/>
              <w:jc w:val="center"/>
              <w:rPr>
                <w:sz w:val="20"/>
                <w:szCs w:val="20"/>
                <w:lang w:val="en-US"/>
              </w:rPr>
            </w:pPr>
            <w:r w:rsidRPr="00940884">
              <w:rPr>
                <w:sz w:val="20"/>
                <w:szCs w:val="20"/>
                <w:lang w:val="en-US"/>
              </w:rPr>
              <w:t>17</w:t>
            </w:r>
            <w:r w:rsidR="00277405" w:rsidRPr="00940884">
              <w:rPr>
                <w:sz w:val="20"/>
                <w:szCs w:val="20"/>
                <w:lang w:val="en-US"/>
              </w:rPr>
              <w:t xml:space="preserve"> (</w:t>
            </w:r>
            <w:r w:rsidRPr="00940884">
              <w:rPr>
                <w:sz w:val="20"/>
                <w:szCs w:val="20"/>
                <w:lang w:val="en-US"/>
              </w:rPr>
              <w:t>5-25</w:t>
            </w:r>
            <w:r w:rsidR="00277405" w:rsidRPr="00940884">
              <w:rPr>
                <w:sz w:val="20"/>
                <w:szCs w:val="20"/>
                <w:lang w:val="en-US"/>
              </w:rPr>
              <w:t>)</w:t>
            </w:r>
          </w:p>
        </w:tc>
        <w:tc>
          <w:tcPr>
            <w:tcW w:w="882" w:type="dxa"/>
          </w:tcPr>
          <w:p w14:paraId="217D260D" w14:textId="77777777" w:rsidR="00277405" w:rsidRPr="00940884" w:rsidRDefault="00277405" w:rsidP="0080514F">
            <w:pPr>
              <w:spacing w:line="360" w:lineRule="auto"/>
              <w:jc w:val="center"/>
              <w:rPr>
                <w:sz w:val="20"/>
                <w:szCs w:val="20"/>
                <w:lang w:val="en-US"/>
              </w:rPr>
            </w:pPr>
            <w:r w:rsidRPr="00940884">
              <w:rPr>
                <w:sz w:val="20"/>
                <w:szCs w:val="20"/>
                <w:lang w:val="en-US"/>
              </w:rPr>
              <w:t>0.</w:t>
            </w:r>
            <w:r w:rsidR="0080514F" w:rsidRPr="00940884">
              <w:rPr>
                <w:sz w:val="20"/>
                <w:szCs w:val="20"/>
                <w:lang w:val="en-US"/>
              </w:rPr>
              <w:t>09</w:t>
            </w:r>
            <w:r w:rsidRPr="00940884">
              <w:rPr>
                <w:sz w:val="20"/>
                <w:szCs w:val="20"/>
                <w:vertAlign w:val="superscript"/>
                <w:lang w:val="en-US"/>
              </w:rPr>
              <w:t>#</w:t>
            </w:r>
          </w:p>
        </w:tc>
      </w:tr>
      <w:tr w:rsidR="00277405" w:rsidRPr="00940884" w14:paraId="39FDF01E" w14:textId="77777777" w:rsidTr="00F55B1D">
        <w:tc>
          <w:tcPr>
            <w:tcW w:w="1842" w:type="dxa"/>
            <w:vMerge/>
          </w:tcPr>
          <w:p w14:paraId="289A8056" w14:textId="77777777" w:rsidR="00277405" w:rsidRPr="00940884" w:rsidRDefault="00277405" w:rsidP="00F55B1D">
            <w:pPr>
              <w:spacing w:line="360" w:lineRule="auto"/>
              <w:jc w:val="both"/>
              <w:rPr>
                <w:b/>
                <w:sz w:val="20"/>
                <w:szCs w:val="20"/>
                <w:lang w:val="en-US"/>
              </w:rPr>
            </w:pPr>
          </w:p>
        </w:tc>
        <w:tc>
          <w:tcPr>
            <w:tcW w:w="3653" w:type="dxa"/>
          </w:tcPr>
          <w:p w14:paraId="4A3A2A0D" w14:textId="77777777" w:rsidR="00277405" w:rsidRPr="00940884" w:rsidRDefault="00277405" w:rsidP="00277405">
            <w:pPr>
              <w:spacing w:line="360" w:lineRule="auto"/>
              <w:jc w:val="both"/>
              <w:rPr>
                <w:sz w:val="20"/>
                <w:szCs w:val="20"/>
                <w:lang w:val="en-US"/>
              </w:rPr>
            </w:pPr>
            <w:r w:rsidRPr="00940884">
              <w:rPr>
                <w:sz w:val="20"/>
                <w:szCs w:val="20"/>
                <w:lang w:val="en-US"/>
              </w:rPr>
              <w:t xml:space="preserve">Premorbid </w:t>
            </w:r>
            <w:proofErr w:type="spellStart"/>
            <w:r w:rsidRPr="00940884">
              <w:rPr>
                <w:sz w:val="20"/>
                <w:szCs w:val="20"/>
                <w:lang w:val="en-US"/>
              </w:rPr>
              <w:t>mRS</w:t>
            </w:r>
            <w:proofErr w:type="spellEnd"/>
            <w:r w:rsidRPr="00940884">
              <w:rPr>
                <w:sz w:val="20"/>
                <w:szCs w:val="20"/>
                <w:lang w:val="en-US"/>
              </w:rPr>
              <w:t>, median (min-max)</w:t>
            </w:r>
          </w:p>
        </w:tc>
        <w:tc>
          <w:tcPr>
            <w:tcW w:w="1417" w:type="dxa"/>
          </w:tcPr>
          <w:p w14:paraId="346C0127" w14:textId="77777777" w:rsidR="00277405" w:rsidRPr="00940884" w:rsidRDefault="0046690B" w:rsidP="0046690B">
            <w:pPr>
              <w:spacing w:line="360" w:lineRule="auto"/>
              <w:jc w:val="center"/>
              <w:rPr>
                <w:sz w:val="20"/>
                <w:szCs w:val="20"/>
                <w:lang w:val="en-US"/>
              </w:rPr>
            </w:pPr>
            <w:r w:rsidRPr="00940884">
              <w:rPr>
                <w:sz w:val="20"/>
                <w:szCs w:val="20"/>
                <w:lang w:val="en-US"/>
              </w:rPr>
              <w:t>2</w:t>
            </w:r>
            <w:r w:rsidR="00277405" w:rsidRPr="00940884">
              <w:rPr>
                <w:sz w:val="20"/>
                <w:szCs w:val="20"/>
                <w:lang w:val="en-US"/>
              </w:rPr>
              <w:t xml:space="preserve"> (</w:t>
            </w:r>
            <w:r w:rsidRPr="00940884">
              <w:rPr>
                <w:sz w:val="20"/>
                <w:szCs w:val="20"/>
                <w:lang w:val="en-US"/>
              </w:rPr>
              <w:t>0-5</w:t>
            </w:r>
            <w:r w:rsidR="00277405" w:rsidRPr="00940884">
              <w:rPr>
                <w:sz w:val="20"/>
                <w:szCs w:val="20"/>
                <w:lang w:val="en-US"/>
              </w:rPr>
              <w:t>)</w:t>
            </w:r>
          </w:p>
        </w:tc>
        <w:tc>
          <w:tcPr>
            <w:tcW w:w="1418" w:type="dxa"/>
          </w:tcPr>
          <w:p w14:paraId="2E74F323" w14:textId="77777777" w:rsidR="00277405" w:rsidRPr="00940884" w:rsidRDefault="0046690B" w:rsidP="0046690B">
            <w:pPr>
              <w:spacing w:line="360" w:lineRule="auto"/>
              <w:jc w:val="center"/>
              <w:rPr>
                <w:sz w:val="20"/>
                <w:szCs w:val="20"/>
                <w:lang w:val="en-US"/>
              </w:rPr>
            </w:pPr>
            <w:r w:rsidRPr="00940884">
              <w:rPr>
                <w:sz w:val="20"/>
                <w:szCs w:val="20"/>
                <w:lang w:val="en-US"/>
              </w:rPr>
              <w:t>2</w:t>
            </w:r>
            <w:r w:rsidR="00277405" w:rsidRPr="00940884">
              <w:rPr>
                <w:sz w:val="20"/>
                <w:szCs w:val="20"/>
                <w:lang w:val="en-US"/>
              </w:rPr>
              <w:t xml:space="preserve"> (</w:t>
            </w:r>
            <w:r w:rsidRPr="00940884">
              <w:rPr>
                <w:sz w:val="20"/>
                <w:szCs w:val="20"/>
                <w:lang w:val="en-US"/>
              </w:rPr>
              <w:t>0-4</w:t>
            </w:r>
            <w:r w:rsidR="00277405" w:rsidRPr="00940884">
              <w:rPr>
                <w:sz w:val="20"/>
                <w:szCs w:val="20"/>
                <w:lang w:val="en-US"/>
              </w:rPr>
              <w:t>)</w:t>
            </w:r>
          </w:p>
        </w:tc>
        <w:tc>
          <w:tcPr>
            <w:tcW w:w="882" w:type="dxa"/>
          </w:tcPr>
          <w:p w14:paraId="57A04182" w14:textId="77777777" w:rsidR="00277405" w:rsidRPr="00940884" w:rsidRDefault="00277405" w:rsidP="0046690B">
            <w:pPr>
              <w:spacing w:line="360" w:lineRule="auto"/>
              <w:jc w:val="center"/>
              <w:rPr>
                <w:sz w:val="20"/>
                <w:szCs w:val="20"/>
                <w:lang w:val="en-US"/>
              </w:rPr>
            </w:pPr>
            <w:r w:rsidRPr="00940884">
              <w:rPr>
                <w:sz w:val="20"/>
                <w:szCs w:val="20"/>
                <w:lang w:val="en-US"/>
              </w:rPr>
              <w:t>0.</w:t>
            </w:r>
            <w:r w:rsidR="0046690B" w:rsidRPr="00940884">
              <w:rPr>
                <w:sz w:val="20"/>
                <w:szCs w:val="20"/>
                <w:lang w:val="en-US"/>
              </w:rPr>
              <w:t>012</w:t>
            </w:r>
            <w:r w:rsidRPr="00940884">
              <w:rPr>
                <w:sz w:val="20"/>
                <w:szCs w:val="20"/>
                <w:lang w:val="en-US"/>
              </w:rPr>
              <w:t>*</w:t>
            </w:r>
          </w:p>
        </w:tc>
      </w:tr>
      <w:tr w:rsidR="00277405" w:rsidRPr="00940884" w14:paraId="7906F7E3" w14:textId="77777777" w:rsidTr="00F55B1D">
        <w:tc>
          <w:tcPr>
            <w:tcW w:w="1842" w:type="dxa"/>
            <w:vMerge w:val="restart"/>
          </w:tcPr>
          <w:p w14:paraId="5DF18B35" w14:textId="77777777" w:rsidR="00277405" w:rsidRPr="00940884" w:rsidRDefault="00277405" w:rsidP="00F55B1D">
            <w:pPr>
              <w:spacing w:line="360" w:lineRule="auto"/>
              <w:jc w:val="both"/>
              <w:rPr>
                <w:b/>
                <w:sz w:val="20"/>
                <w:szCs w:val="20"/>
                <w:lang w:val="en-US"/>
              </w:rPr>
            </w:pPr>
            <w:r w:rsidRPr="00940884">
              <w:rPr>
                <w:b/>
                <w:sz w:val="20"/>
                <w:szCs w:val="20"/>
                <w:lang w:val="en-US"/>
              </w:rPr>
              <w:t>Risk Factors</w:t>
            </w:r>
          </w:p>
        </w:tc>
        <w:tc>
          <w:tcPr>
            <w:tcW w:w="3653" w:type="dxa"/>
          </w:tcPr>
          <w:p w14:paraId="16766811" w14:textId="77777777" w:rsidR="00277405" w:rsidRPr="00940884" w:rsidRDefault="00277405" w:rsidP="00F55B1D">
            <w:pPr>
              <w:spacing w:line="360" w:lineRule="auto"/>
              <w:jc w:val="both"/>
              <w:rPr>
                <w:sz w:val="20"/>
                <w:szCs w:val="20"/>
                <w:lang w:val="en-US"/>
              </w:rPr>
            </w:pPr>
            <w:r w:rsidRPr="00940884">
              <w:rPr>
                <w:sz w:val="20"/>
                <w:szCs w:val="20"/>
                <w:lang w:val="en-US"/>
              </w:rPr>
              <w:t>High blood pressure (%)</w:t>
            </w:r>
          </w:p>
        </w:tc>
        <w:tc>
          <w:tcPr>
            <w:tcW w:w="1417" w:type="dxa"/>
          </w:tcPr>
          <w:p w14:paraId="578318A9" w14:textId="77777777" w:rsidR="00277405" w:rsidRPr="00940884" w:rsidRDefault="000E497B" w:rsidP="000E497B">
            <w:pPr>
              <w:spacing w:line="360" w:lineRule="auto"/>
              <w:jc w:val="center"/>
              <w:rPr>
                <w:sz w:val="20"/>
                <w:szCs w:val="20"/>
                <w:lang w:val="en-US"/>
              </w:rPr>
            </w:pPr>
            <w:r w:rsidRPr="00940884">
              <w:rPr>
                <w:sz w:val="20"/>
                <w:szCs w:val="20"/>
                <w:lang w:val="en-US"/>
              </w:rPr>
              <w:t>193</w:t>
            </w:r>
            <w:r w:rsidR="00277405" w:rsidRPr="00940884">
              <w:rPr>
                <w:sz w:val="20"/>
                <w:szCs w:val="20"/>
                <w:lang w:val="en-US"/>
              </w:rPr>
              <w:t xml:space="preserve"> (</w:t>
            </w:r>
            <w:r w:rsidRPr="00940884">
              <w:rPr>
                <w:sz w:val="20"/>
                <w:szCs w:val="20"/>
                <w:lang w:val="en-US"/>
              </w:rPr>
              <w:t>83.5</w:t>
            </w:r>
            <w:r w:rsidR="00277405" w:rsidRPr="00940884">
              <w:rPr>
                <w:sz w:val="20"/>
                <w:szCs w:val="20"/>
                <w:lang w:val="en-US"/>
              </w:rPr>
              <w:t>)</w:t>
            </w:r>
          </w:p>
        </w:tc>
        <w:tc>
          <w:tcPr>
            <w:tcW w:w="1418" w:type="dxa"/>
          </w:tcPr>
          <w:p w14:paraId="5B55E5FB" w14:textId="77777777" w:rsidR="00277405" w:rsidRPr="00940884" w:rsidRDefault="000E497B" w:rsidP="000E497B">
            <w:pPr>
              <w:spacing w:line="360" w:lineRule="auto"/>
              <w:jc w:val="center"/>
              <w:rPr>
                <w:sz w:val="20"/>
                <w:szCs w:val="20"/>
                <w:lang w:val="en-US"/>
              </w:rPr>
            </w:pPr>
            <w:r w:rsidRPr="00940884">
              <w:rPr>
                <w:sz w:val="20"/>
                <w:szCs w:val="20"/>
                <w:lang w:val="en-US"/>
              </w:rPr>
              <w:t>100</w:t>
            </w:r>
            <w:r w:rsidR="00277405" w:rsidRPr="00940884">
              <w:rPr>
                <w:sz w:val="20"/>
                <w:szCs w:val="20"/>
                <w:lang w:val="en-US"/>
              </w:rPr>
              <w:t xml:space="preserve"> (</w:t>
            </w:r>
            <w:r w:rsidRPr="00940884">
              <w:rPr>
                <w:sz w:val="20"/>
                <w:szCs w:val="20"/>
                <w:lang w:val="en-US"/>
              </w:rPr>
              <w:t>76.3</w:t>
            </w:r>
            <w:r w:rsidR="00277405" w:rsidRPr="00940884">
              <w:rPr>
                <w:sz w:val="20"/>
                <w:szCs w:val="20"/>
                <w:lang w:val="en-US"/>
              </w:rPr>
              <w:t>)</w:t>
            </w:r>
          </w:p>
        </w:tc>
        <w:tc>
          <w:tcPr>
            <w:tcW w:w="882" w:type="dxa"/>
          </w:tcPr>
          <w:p w14:paraId="0964BF2E" w14:textId="77777777" w:rsidR="00277405" w:rsidRPr="00940884" w:rsidRDefault="00277405" w:rsidP="000E497B">
            <w:pPr>
              <w:spacing w:line="360" w:lineRule="auto"/>
              <w:jc w:val="center"/>
              <w:rPr>
                <w:sz w:val="20"/>
                <w:szCs w:val="20"/>
                <w:lang w:val="en-US"/>
              </w:rPr>
            </w:pPr>
            <w:r w:rsidRPr="00940884">
              <w:rPr>
                <w:sz w:val="20"/>
                <w:szCs w:val="20"/>
                <w:lang w:val="en-US"/>
              </w:rPr>
              <w:t>0.</w:t>
            </w:r>
            <w:r w:rsidR="000E497B" w:rsidRPr="00940884">
              <w:rPr>
                <w:sz w:val="20"/>
                <w:szCs w:val="20"/>
                <w:lang w:val="en-US"/>
              </w:rPr>
              <w:t>1</w:t>
            </w:r>
            <w:r w:rsidRPr="00940884">
              <w:rPr>
                <w:sz w:val="20"/>
                <w:szCs w:val="20"/>
                <w:lang w:val="en-US"/>
              </w:rPr>
              <w:t>*</w:t>
            </w:r>
          </w:p>
        </w:tc>
      </w:tr>
      <w:tr w:rsidR="00277405" w:rsidRPr="00940884" w14:paraId="4F3937E0" w14:textId="77777777" w:rsidTr="00F55B1D">
        <w:tc>
          <w:tcPr>
            <w:tcW w:w="1842" w:type="dxa"/>
            <w:vMerge/>
          </w:tcPr>
          <w:p w14:paraId="1B60B7CD" w14:textId="77777777" w:rsidR="00277405" w:rsidRPr="00940884" w:rsidRDefault="00277405" w:rsidP="00F55B1D">
            <w:pPr>
              <w:spacing w:line="360" w:lineRule="auto"/>
              <w:jc w:val="both"/>
              <w:rPr>
                <w:b/>
                <w:sz w:val="20"/>
                <w:szCs w:val="20"/>
                <w:lang w:val="en-US"/>
              </w:rPr>
            </w:pPr>
          </w:p>
        </w:tc>
        <w:tc>
          <w:tcPr>
            <w:tcW w:w="3653" w:type="dxa"/>
          </w:tcPr>
          <w:p w14:paraId="68780285" w14:textId="77777777" w:rsidR="00277405" w:rsidRPr="00940884" w:rsidRDefault="00277405" w:rsidP="00F55B1D">
            <w:pPr>
              <w:spacing w:line="360" w:lineRule="auto"/>
              <w:jc w:val="both"/>
              <w:rPr>
                <w:sz w:val="20"/>
                <w:szCs w:val="20"/>
                <w:lang w:val="en-US"/>
              </w:rPr>
            </w:pPr>
            <w:r w:rsidRPr="00940884">
              <w:rPr>
                <w:sz w:val="20"/>
                <w:szCs w:val="20"/>
                <w:lang w:val="en-US"/>
              </w:rPr>
              <w:t>Diabetes (%)</w:t>
            </w:r>
          </w:p>
        </w:tc>
        <w:tc>
          <w:tcPr>
            <w:tcW w:w="1417" w:type="dxa"/>
          </w:tcPr>
          <w:p w14:paraId="5F059A5B" w14:textId="77777777" w:rsidR="00277405" w:rsidRPr="00940884" w:rsidRDefault="000E497B" w:rsidP="000E497B">
            <w:pPr>
              <w:spacing w:line="360" w:lineRule="auto"/>
              <w:jc w:val="center"/>
              <w:rPr>
                <w:sz w:val="20"/>
                <w:szCs w:val="20"/>
                <w:lang w:val="en-US"/>
              </w:rPr>
            </w:pPr>
            <w:r w:rsidRPr="00940884">
              <w:rPr>
                <w:sz w:val="20"/>
                <w:szCs w:val="20"/>
                <w:lang w:val="en-US"/>
              </w:rPr>
              <w:t>55</w:t>
            </w:r>
            <w:r w:rsidR="00277405" w:rsidRPr="00940884">
              <w:rPr>
                <w:sz w:val="20"/>
                <w:szCs w:val="20"/>
                <w:lang w:val="en-US"/>
              </w:rPr>
              <w:t xml:space="preserve"> (</w:t>
            </w:r>
            <w:r w:rsidRPr="00940884">
              <w:rPr>
                <w:sz w:val="20"/>
                <w:szCs w:val="20"/>
                <w:lang w:val="en-US"/>
              </w:rPr>
              <w:t>23.8</w:t>
            </w:r>
            <w:r w:rsidR="00277405" w:rsidRPr="00940884">
              <w:rPr>
                <w:sz w:val="20"/>
                <w:szCs w:val="20"/>
                <w:lang w:val="en-US"/>
              </w:rPr>
              <w:t>)</w:t>
            </w:r>
          </w:p>
        </w:tc>
        <w:tc>
          <w:tcPr>
            <w:tcW w:w="1418" w:type="dxa"/>
          </w:tcPr>
          <w:p w14:paraId="74FF806E" w14:textId="77777777" w:rsidR="00277405" w:rsidRPr="00940884" w:rsidRDefault="000E497B" w:rsidP="000E497B">
            <w:pPr>
              <w:spacing w:line="360" w:lineRule="auto"/>
              <w:jc w:val="center"/>
              <w:rPr>
                <w:sz w:val="20"/>
                <w:szCs w:val="20"/>
                <w:lang w:val="en-US"/>
              </w:rPr>
            </w:pPr>
            <w:r w:rsidRPr="00940884">
              <w:rPr>
                <w:sz w:val="20"/>
                <w:szCs w:val="20"/>
                <w:lang w:val="en-US"/>
              </w:rPr>
              <w:t>26</w:t>
            </w:r>
            <w:r w:rsidR="00277405" w:rsidRPr="00940884">
              <w:rPr>
                <w:sz w:val="20"/>
                <w:szCs w:val="20"/>
                <w:lang w:val="en-US"/>
              </w:rPr>
              <w:t xml:space="preserve"> (</w:t>
            </w:r>
            <w:r w:rsidRPr="00940884">
              <w:rPr>
                <w:sz w:val="20"/>
                <w:szCs w:val="20"/>
                <w:lang w:val="en-US"/>
              </w:rPr>
              <w:t>19.8</w:t>
            </w:r>
            <w:r w:rsidR="00277405" w:rsidRPr="00940884">
              <w:rPr>
                <w:sz w:val="20"/>
                <w:szCs w:val="20"/>
                <w:lang w:val="en-US"/>
              </w:rPr>
              <w:t>)</w:t>
            </w:r>
          </w:p>
        </w:tc>
        <w:tc>
          <w:tcPr>
            <w:tcW w:w="882" w:type="dxa"/>
          </w:tcPr>
          <w:p w14:paraId="08EEE0F8" w14:textId="77777777" w:rsidR="00277405" w:rsidRPr="00940884" w:rsidRDefault="00277405" w:rsidP="000E497B">
            <w:pPr>
              <w:spacing w:line="360" w:lineRule="auto"/>
              <w:jc w:val="center"/>
              <w:rPr>
                <w:sz w:val="20"/>
                <w:szCs w:val="20"/>
                <w:lang w:val="en-US"/>
              </w:rPr>
            </w:pPr>
            <w:r w:rsidRPr="00940884">
              <w:rPr>
                <w:sz w:val="20"/>
                <w:szCs w:val="20"/>
                <w:lang w:val="en-US"/>
              </w:rPr>
              <w:t>0.</w:t>
            </w:r>
            <w:r w:rsidR="000E497B" w:rsidRPr="00940884">
              <w:rPr>
                <w:sz w:val="20"/>
                <w:szCs w:val="20"/>
                <w:lang w:val="en-US"/>
              </w:rPr>
              <w:t>43</w:t>
            </w:r>
            <w:r w:rsidRPr="00940884">
              <w:rPr>
                <w:sz w:val="20"/>
                <w:szCs w:val="20"/>
                <w:lang w:val="en-US"/>
              </w:rPr>
              <w:t>*</w:t>
            </w:r>
          </w:p>
        </w:tc>
      </w:tr>
      <w:tr w:rsidR="00277405" w:rsidRPr="00940884" w14:paraId="35219FC4" w14:textId="77777777" w:rsidTr="00F55B1D">
        <w:tc>
          <w:tcPr>
            <w:tcW w:w="1842" w:type="dxa"/>
            <w:vMerge/>
          </w:tcPr>
          <w:p w14:paraId="6121658A" w14:textId="77777777" w:rsidR="00277405" w:rsidRPr="00940884" w:rsidRDefault="00277405" w:rsidP="00F55B1D">
            <w:pPr>
              <w:spacing w:line="360" w:lineRule="auto"/>
              <w:jc w:val="both"/>
              <w:rPr>
                <w:b/>
                <w:sz w:val="20"/>
                <w:szCs w:val="20"/>
                <w:lang w:val="en-US"/>
              </w:rPr>
            </w:pPr>
          </w:p>
        </w:tc>
        <w:tc>
          <w:tcPr>
            <w:tcW w:w="3653" w:type="dxa"/>
          </w:tcPr>
          <w:p w14:paraId="59413ED1" w14:textId="77777777" w:rsidR="00277405" w:rsidRPr="00940884" w:rsidRDefault="00277405" w:rsidP="00F55B1D">
            <w:pPr>
              <w:spacing w:line="360" w:lineRule="auto"/>
              <w:jc w:val="both"/>
              <w:rPr>
                <w:sz w:val="20"/>
                <w:szCs w:val="20"/>
                <w:lang w:val="en-US"/>
              </w:rPr>
            </w:pPr>
            <w:r w:rsidRPr="00940884">
              <w:rPr>
                <w:sz w:val="20"/>
                <w:szCs w:val="20"/>
                <w:lang w:val="en-US"/>
              </w:rPr>
              <w:t>High Cholesterol (%)</w:t>
            </w:r>
          </w:p>
        </w:tc>
        <w:tc>
          <w:tcPr>
            <w:tcW w:w="1417" w:type="dxa"/>
          </w:tcPr>
          <w:p w14:paraId="3713B00B" w14:textId="77777777" w:rsidR="00277405" w:rsidRPr="00940884" w:rsidRDefault="000E497B" w:rsidP="000E497B">
            <w:pPr>
              <w:spacing w:line="360" w:lineRule="auto"/>
              <w:jc w:val="center"/>
              <w:rPr>
                <w:sz w:val="20"/>
                <w:szCs w:val="20"/>
                <w:lang w:val="en-US"/>
              </w:rPr>
            </w:pPr>
            <w:r w:rsidRPr="00940884">
              <w:rPr>
                <w:sz w:val="20"/>
                <w:szCs w:val="20"/>
                <w:lang w:val="en-US"/>
              </w:rPr>
              <w:t>87</w:t>
            </w:r>
            <w:r w:rsidR="00277405" w:rsidRPr="00940884">
              <w:rPr>
                <w:sz w:val="20"/>
                <w:szCs w:val="20"/>
                <w:lang w:val="en-US"/>
              </w:rPr>
              <w:t xml:space="preserve"> (</w:t>
            </w:r>
            <w:r w:rsidRPr="00940884">
              <w:rPr>
                <w:sz w:val="20"/>
                <w:szCs w:val="20"/>
                <w:lang w:val="en-US"/>
              </w:rPr>
              <w:t>37.7</w:t>
            </w:r>
            <w:r w:rsidR="00277405" w:rsidRPr="00940884">
              <w:rPr>
                <w:sz w:val="20"/>
                <w:szCs w:val="20"/>
                <w:lang w:val="en-US"/>
              </w:rPr>
              <w:t>)</w:t>
            </w:r>
          </w:p>
        </w:tc>
        <w:tc>
          <w:tcPr>
            <w:tcW w:w="1418" w:type="dxa"/>
          </w:tcPr>
          <w:p w14:paraId="095560DA" w14:textId="77777777" w:rsidR="00277405" w:rsidRPr="00940884" w:rsidRDefault="000E497B" w:rsidP="000E497B">
            <w:pPr>
              <w:spacing w:line="360" w:lineRule="auto"/>
              <w:jc w:val="center"/>
              <w:rPr>
                <w:sz w:val="20"/>
                <w:szCs w:val="20"/>
                <w:lang w:val="en-US"/>
              </w:rPr>
            </w:pPr>
            <w:r w:rsidRPr="00940884">
              <w:rPr>
                <w:sz w:val="20"/>
                <w:szCs w:val="20"/>
                <w:lang w:val="en-US"/>
              </w:rPr>
              <w:t>45</w:t>
            </w:r>
            <w:r w:rsidR="00277405" w:rsidRPr="00940884">
              <w:rPr>
                <w:sz w:val="20"/>
                <w:szCs w:val="20"/>
                <w:lang w:val="en-US"/>
              </w:rPr>
              <w:t xml:space="preserve"> (</w:t>
            </w:r>
            <w:r w:rsidRPr="00940884">
              <w:rPr>
                <w:sz w:val="20"/>
                <w:szCs w:val="20"/>
                <w:lang w:val="en-US"/>
              </w:rPr>
              <w:t>34.4</w:t>
            </w:r>
            <w:r w:rsidR="00277405" w:rsidRPr="00940884">
              <w:rPr>
                <w:sz w:val="20"/>
                <w:szCs w:val="20"/>
                <w:lang w:val="en-US"/>
              </w:rPr>
              <w:t>)</w:t>
            </w:r>
          </w:p>
        </w:tc>
        <w:tc>
          <w:tcPr>
            <w:tcW w:w="882" w:type="dxa"/>
          </w:tcPr>
          <w:p w14:paraId="2B715048" w14:textId="77777777" w:rsidR="00277405" w:rsidRPr="00940884" w:rsidRDefault="000E497B" w:rsidP="00F55B1D">
            <w:pPr>
              <w:spacing w:line="360" w:lineRule="auto"/>
              <w:jc w:val="center"/>
              <w:rPr>
                <w:sz w:val="20"/>
                <w:szCs w:val="20"/>
                <w:lang w:val="en-US"/>
              </w:rPr>
            </w:pPr>
            <w:r w:rsidRPr="00940884">
              <w:rPr>
                <w:sz w:val="20"/>
                <w:szCs w:val="20"/>
                <w:lang w:val="en-US"/>
              </w:rPr>
              <w:t>0.57</w:t>
            </w:r>
            <w:r w:rsidR="00277405" w:rsidRPr="00940884">
              <w:rPr>
                <w:sz w:val="20"/>
                <w:szCs w:val="20"/>
                <w:lang w:val="en-US"/>
              </w:rPr>
              <w:t>*</w:t>
            </w:r>
          </w:p>
        </w:tc>
      </w:tr>
      <w:tr w:rsidR="00277405" w:rsidRPr="00940884" w14:paraId="25F52272" w14:textId="77777777" w:rsidTr="00F55B1D">
        <w:tc>
          <w:tcPr>
            <w:tcW w:w="1842" w:type="dxa"/>
            <w:vMerge/>
          </w:tcPr>
          <w:p w14:paraId="65FAF239" w14:textId="77777777" w:rsidR="00277405" w:rsidRPr="00940884" w:rsidRDefault="00277405" w:rsidP="00F55B1D">
            <w:pPr>
              <w:spacing w:line="360" w:lineRule="auto"/>
              <w:jc w:val="both"/>
              <w:rPr>
                <w:b/>
                <w:sz w:val="20"/>
                <w:szCs w:val="20"/>
                <w:lang w:val="en-US"/>
              </w:rPr>
            </w:pPr>
          </w:p>
        </w:tc>
        <w:tc>
          <w:tcPr>
            <w:tcW w:w="3653" w:type="dxa"/>
          </w:tcPr>
          <w:p w14:paraId="672B749C" w14:textId="77777777" w:rsidR="00277405" w:rsidRPr="00940884" w:rsidRDefault="00277405" w:rsidP="00F55B1D">
            <w:pPr>
              <w:spacing w:line="360" w:lineRule="auto"/>
              <w:jc w:val="both"/>
              <w:rPr>
                <w:sz w:val="20"/>
                <w:szCs w:val="20"/>
                <w:lang w:val="en-US"/>
              </w:rPr>
            </w:pPr>
            <w:r w:rsidRPr="00940884">
              <w:rPr>
                <w:sz w:val="20"/>
                <w:szCs w:val="20"/>
                <w:lang w:val="en-US"/>
              </w:rPr>
              <w:t>Current smoking (%)</w:t>
            </w:r>
          </w:p>
        </w:tc>
        <w:tc>
          <w:tcPr>
            <w:tcW w:w="1417" w:type="dxa"/>
          </w:tcPr>
          <w:p w14:paraId="092560D6" w14:textId="77777777" w:rsidR="00277405" w:rsidRPr="00940884" w:rsidRDefault="000E497B" w:rsidP="000E497B">
            <w:pPr>
              <w:spacing w:line="360" w:lineRule="auto"/>
              <w:jc w:val="center"/>
              <w:rPr>
                <w:sz w:val="20"/>
                <w:szCs w:val="20"/>
                <w:lang w:val="en-US"/>
              </w:rPr>
            </w:pPr>
            <w:r w:rsidRPr="00940884">
              <w:rPr>
                <w:sz w:val="20"/>
                <w:szCs w:val="20"/>
                <w:lang w:val="en-US"/>
              </w:rPr>
              <w:t>19</w:t>
            </w:r>
            <w:r w:rsidR="00277405" w:rsidRPr="00940884">
              <w:rPr>
                <w:sz w:val="20"/>
                <w:szCs w:val="20"/>
                <w:lang w:val="en-US"/>
              </w:rPr>
              <w:t xml:space="preserve"> (</w:t>
            </w:r>
            <w:r w:rsidRPr="00940884">
              <w:rPr>
                <w:sz w:val="20"/>
                <w:szCs w:val="20"/>
                <w:lang w:val="en-US"/>
              </w:rPr>
              <w:t>8.2</w:t>
            </w:r>
            <w:r w:rsidR="00277405" w:rsidRPr="00940884">
              <w:rPr>
                <w:sz w:val="20"/>
                <w:szCs w:val="20"/>
                <w:lang w:val="en-US"/>
              </w:rPr>
              <w:t>)</w:t>
            </w:r>
          </w:p>
        </w:tc>
        <w:tc>
          <w:tcPr>
            <w:tcW w:w="1418" w:type="dxa"/>
          </w:tcPr>
          <w:p w14:paraId="7A00B540" w14:textId="77777777" w:rsidR="00277405" w:rsidRPr="00940884" w:rsidRDefault="000E497B" w:rsidP="000E497B">
            <w:pPr>
              <w:spacing w:line="360" w:lineRule="auto"/>
              <w:jc w:val="center"/>
              <w:rPr>
                <w:sz w:val="20"/>
                <w:szCs w:val="20"/>
                <w:lang w:val="en-US"/>
              </w:rPr>
            </w:pPr>
            <w:r w:rsidRPr="00940884">
              <w:rPr>
                <w:sz w:val="20"/>
                <w:szCs w:val="20"/>
                <w:lang w:val="en-US"/>
              </w:rPr>
              <w:t>17</w:t>
            </w:r>
            <w:r w:rsidR="00277405" w:rsidRPr="00940884">
              <w:rPr>
                <w:sz w:val="20"/>
                <w:szCs w:val="20"/>
                <w:lang w:val="en-US"/>
              </w:rPr>
              <w:t xml:space="preserve"> (</w:t>
            </w:r>
            <w:r w:rsidRPr="00940884">
              <w:rPr>
                <w:sz w:val="20"/>
                <w:szCs w:val="20"/>
                <w:lang w:val="en-US"/>
              </w:rPr>
              <w:t>13</w:t>
            </w:r>
            <w:r w:rsidR="00277405" w:rsidRPr="00940884">
              <w:rPr>
                <w:sz w:val="20"/>
                <w:szCs w:val="20"/>
                <w:lang w:val="en-US"/>
              </w:rPr>
              <w:t>)</w:t>
            </w:r>
          </w:p>
        </w:tc>
        <w:tc>
          <w:tcPr>
            <w:tcW w:w="882" w:type="dxa"/>
          </w:tcPr>
          <w:p w14:paraId="08364B58" w14:textId="77777777" w:rsidR="00277405" w:rsidRPr="00940884" w:rsidRDefault="00277405" w:rsidP="000E497B">
            <w:pPr>
              <w:spacing w:line="360" w:lineRule="auto"/>
              <w:jc w:val="center"/>
              <w:rPr>
                <w:sz w:val="20"/>
                <w:szCs w:val="20"/>
                <w:lang w:val="en-US"/>
              </w:rPr>
            </w:pPr>
            <w:r w:rsidRPr="00940884">
              <w:rPr>
                <w:sz w:val="20"/>
                <w:szCs w:val="20"/>
                <w:lang w:val="en-US"/>
              </w:rPr>
              <w:t>0.</w:t>
            </w:r>
            <w:r w:rsidR="000E497B" w:rsidRPr="00940884">
              <w:rPr>
                <w:sz w:val="20"/>
                <w:szCs w:val="20"/>
                <w:lang w:val="en-US"/>
              </w:rPr>
              <w:t>1</w:t>
            </w:r>
            <w:r w:rsidRPr="00940884">
              <w:rPr>
                <w:sz w:val="20"/>
                <w:szCs w:val="20"/>
                <w:lang w:val="en-US"/>
              </w:rPr>
              <w:t>5*</w:t>
            </w:r>
          </w:p>
        </w:tc>
      </w:tr>
      <w:tr w:rsidR="00277405" w:rsidRPr="00940884" w14:paraId="49FA0587" w14:textId="77777777" w:rsidTr="00F55B1D">
        <w:tc>
          <w:tcPr>
            <w:tcW w:w="1842" w:type="dxa"/>
            <w:vMerge/>
          </w:tcPr>
          <w:p w14:paraId="48374116" w14:textId="77777777" w:rsidR="00277405" w:rsidRPr="00940884" w:rsidRDefault="00277405" w:rsidP="00F55B1D">
            <w:pPr>
              <w:spacing w:line="360" w:lineRule="auto"/>
              <w:jc w:val="both"/>
              <w:rPr>
                <w:b/>
                <w:sz w:val="20"/>
                <w:szCs w:val="20"/>
                <w:lang w:val="en-US"/>
              </w:rPr>
            </w:pPr>
          </w:p>
        </w:tc>
        <w:tc>
          <w:tcPr>
            <w:tcW w:w="3653" w:type="dxa"/>
          </w:tcPr>
          <w:p w14:paraId="0AC8C263" w14:textId="77777777" w:rsidR="00277405" w:rsidRPr="00940884" w:rsidRDefault="00277405" w:rsidP="00F55B1D">
            <w:pPr>
              <w:spacing w:line="360" w:lineRule="auto"/>
              <w:jc w:val="both"/>
              <w:rPr>
                <w:sz w:val="20"/>
                <w:szCs w:val="20"/>
                <w:lang w:val="en-US"/>
              </w:rPr>
            </w:pPr>
            <w:r w:rsidRPr="00940884">
              <w:rPr>
                <w:sz w:val="20"/>
                <w:szCs w:val="20"/>
                <w:lang w:val="en-US"/>
              </w:rPr>
              <w:t>Known atrial fibrillation (%)</w:t>
            </w:r>
          </w:p>
        </w:tc>
        <w:tc>
          <w:tcPr>
            <w:tcW w:w="1417" w:type="dxa"/>
          </w:tcPr>
          <w:p w14:paraId="52D5F7D3" w14:textId="77777777" w:rsidR="00277405" w:rsidRPr="00940884" w:rsidRDefault="000E497B" w:rsidP="000E497B">
            <w:pPr>
              <w:spacing w:line="360" w:lineRule="auto"/>
              <w:jc w:val="center"/>
              <w:rPr>
                <w:sz w:val="20"/>
                <w:szCs w:val="20"/>
                <w:lang w:val="en-US"/>
              </w:rPr>
            </w:pPr>
            <w:r w:rsidRPr="00940884">
              <w:rPr>
                <w:sz w:val="20"/>
                <w:szCs w:val="20"/>
                <w:lang w:val="en-US"/>
              </w:rPr>
              <w:t>9</w:t>
            </w:r>
            <w:r w:rsidR="00277405" w:rsidRPr="00940884">
              <w:rPr>
                <w:sz w:val="20"/>
                <w:szCs w:val="20"/>
                <w:lang w:val="en-US"/>
              </w:rPr>
              <w:t>4 (</w:t>
            </w:r>
            <w:r w:rsidRPr="00940884">
              <w:rPr>
                <w:sz w:val="20"/>
                <w:szCs w:val="20"/>
                <w:lang w:val="en-US"/>
              </w:rPr>
              <w:t>40.7</w:t>
            </w:r>
            <w:r w:rsidR="00277405" w:rsidRPr="00940884">
              <w:rPr>
                <w:sz w:val="20"/>
                <w:szCs w:val="20"/>
                <w:lang w:val="en-US"/>
              </w:rPr>
              <w:t>)</w:t>
            </w:r>
          </w:p>
        </w:tc>
        <w:tc>
          <w:tcPr>
            <w:tcW w:w="1418" w:type="dxa"/>
          </w:tcPr>
          <w:p w14:paraId="75914BC4" w14:textId="77777777" w:rsidR="00277405" w:rsidRPr="00940884" w:rsidRDefault="000E497B" w:rsidP="000E497B">
            <w:pPr>
              <w:spacing w:line="360" w:lineRule="auto"/>
              <w:jc w:val="center"/>
              <w:rPr>
                <w:sz w:val="20"/>
                <w:szCs w:val="20"/>
                <w:lang w:val="en-US"/>
              </w:rPr>
            </w:pPr>
            <w:r w:rsidRPr="00940884">
              <w:rPr>
                <w:sz w:val="20"/>
                <w:szCs w:val="20"/>
                <w:lang w:val="en-US"/>
              </w:rPr>
              <w:t>50</w:t>
            </w:r>
            <w:r w:rsidR="00277405" w:rsidRPr="00940884">
              <w:rPr>
                <w:sz w:val="20"/>
                <w:szCs w:val="20"/>
                <w:lang w:val="en-US"/>
              </w:rPr>
              <w:t xml:space="preserve"> (</w:t>
            </w:r>
            <w:r w:rsidRPr="00940884">
              <w:rPr>
                <w:sz w:val="20"/>
                <w:szCs w:val="20"/>
                <w:lang w:val="en-US"/>
              </w:rPr>
              <w:t>38.2</w:t>
            </w:r>
            <w:r w:rsidR="00277405" w:rsidRPr="00940884">
              <w:rPr>
                <w:sz w:val="20"/>
                <w:szCs w:val="20"/>
                <w:lang w:val="en-US"/>
              </w:rPr>
              <w:t>)</w:t>
            </w:r>
          </w:p>
        </w:tc>
        <w:tc>
          <w:tcPr>
            <w:tcW w:w="882" w:type="dxa"/>
            <w:vMerge w:val="restart"/>
          </w:tcPr>
          <w:p w14:paraId="6214908B" w14:textId="77777777" w:rsidR="00277405" w:rsidRPr="00940884" w:rsidRDefault="00277405" w:rsidP="000E497B">
            <w:pPr>
              <w:spacing w:line="360" w:lineRule="auto"/>
              <w:jc w:val="center"/>
              <w:rPr>
                <w:sz w:val="20"/>
                <w:szCs w:val="20"/>
                <w:lang w:val="en-US"/>
              </w:rPr>
            </w:pPr>
            <w:r w:rsidRPr="00940884">
              <w:rPr>
                <w:sz w:val="20"/>
                <w:szCs w:val="20"/>
                <w:lang w:val="en-US"/>
              </w:rPr>
              <w:t>0.</w:t>
            </w:r>
            <w:r w:rsidR="000E497B" w:rsidRPr="00940884">
              <w:rPr>
                <w:sz w:val="20"/>
                <w:szCs w:val="20"/>
                <w:lang w:val="en-US"/>
              </w:rPr>
              <w:t>65</w:t>
            </w:r>
            <w:r w:rsidRPr="00940884">
              <w:rPr>
                <w:sz w:val="20"/>
                <w:szCs w:val="20"/>
                <w:lang w:val="en-US"/>
              </w:rPr>
              <w:t>*</w:t>
            </w:r>
          </w:p>
        </w:tc>
      </w:tr>
      <w:tr w:rsidR="00277405" w:rsidRPr="00940884" w14:paraId="565BAD57" w14:textId="77777777" w:rsidTr="00F55B1D">
        <w:tc>
          <w:tcPr>
            <w:tcW w:w="1842" w:type="dxa"/>
            <w:vMerge/>
          </w:tcPr>
          <w:p w14:paraId="17B2EE80" w14:textId="77777777" w:rsidR="00277405" w:rsidRPr="00940884" w:rsidRDefault="00277405" w:rsidP="00F55B1D">
            <w:pPr>
              <w:spacing w:line="360" w:lineRule="auto"/>
              <w:jc w:val="both"/>
              <w:rPr>
                <w:b/>
                <w:sz w:val="20"/>
                <w:szCs w:val="20"/>
                <w:lang w:val="en-US"/>
              </w:rPr>
            </w:pPr>
          </w:p>
        </w:tc>
        <w:tc>
          <w:tcPr>
            <w:tcW w:w="3653" w:type="dxa"/>
          </w:tcPr>
          <w:p w14:paraId="467471E7" w14:textId="77777777" w:rsidR="00277405" w:rsidRPr="00940884" w:rsidRDefault="00277405" w:rsidP="00F55B1D">
            <w:pPr>
              <w:spacing w:line="360" w:lineRule="auto"/>
              <w:jc w:val="both"/>
              <w:rPr>
                <w:sz w:val="20"/>
                <w:szCs w:val="20"/>
                <w:lang w:val="en-US"/>
              </w:rPr>
            </w:pPr>
            <w:r w:rsidRPr="00940884">
              <w:rPr>
                <w:sz w:val="20"/>
                <w:szCs w:val="20"/>
                <w:lang w:val="en-US"/>
              </w:rPr>
              <w:t>Newly diagnosed atrial fibrillation (%)</w:t>
            </w:r>
          </w:p>
        </w:tc>
        <w:tc>
          <w:tcPr>
            <w:tcW w:w="1417" w:type="dxa"/>
          </w:tcPr>
          <w:p w14:paraId="7C4276BE" w14:textId="77777777" w:rsidR="00277405" w:rsidRPr="00940884" w:rsidRDefault="000E497B" w:rsidP="000E497B">
            <w:pPr>
              <w:spacing w:line="360" w:lineRule="auto"/>
              <w:jc w:val="center"/>
              <w:rPr>
                <w:sz w:val="20"/>
                <w:szCs w:val="20"/>
                <w:lang w:val="en-US"/>
              </w:rPr>
            </w:pPr>
            <w:r w:rsidRPr="00940884">
              <w:rPr>
                <w:sz w:val="20"/>
                <w:szCs w:val="20"/>
                <w:lang w:val="en-US"/>
              </w:rPr>
              <w:t>37</w:t>
            </w:r>
            <w:r w:rsidR="00277405" w:rsidRPr="00940884">
              <w:rPr>
                <w:sz w:val="20"/>
                <w:szCs w:val="20"/>
                <w:lang w:val="en-US"/>
              </w:rPr>
              <w:t xml:space="preserve"> (1</w:t>
            </w:r>
            <w:r w:rsidRPr="00940884">
              <w:rPr>
                <w:sz w:val="20"/>
                <w:szCs w:val="20"/>
                <w:lang w:val="en-US"/>
              </w:rPr>
              <w:t>6</w:t>
            </w:r>
            <w:r w:rsidR="00277405" w:rsidRPr="00940884">
              <w:rPr>
                <w:sz w:val="20"/>
                <w:szCs w:val="20"/>
                <w:lang w:val="en-US"/>
              </w:rPr>
              <w:t>)</w:t>
            </w:r>
          </w:p>
        </w:tc>
        <w:tc>
          <w:tcPr>
            <w:tcW w:w="1418" w:type="dxa"/>
          </w:tcPr>
          <w:p w14:paraId="1CD25056" w14:textId="77777777" w:rsidR="00277405" w:rsidRPr="00940884" w:rsidRDefault="000E497B" w:rsidP="000E497B">
            <w:pPr>
              <w:spacing w:line="360" w:lineRule="auto"/>
              <w:jc w:val="center"/>
              <w:rPr>
                <w:sz w:val="20"/>
                <w:szCs w:val="20"/>
                <w:lang w:val="en-US"/>
              </w:rPr>
            </w:pPr>
            <w:r w:rsidRPr="00940884">
              <w:rPr>
                <w:sz w:val="20"/>
                <w:szCs w:val="20"/>
                <w:lang w:val="en-US"/>
              </w:rPr>
              <w:t>18</w:t>
            </w:r>
            <w:r w:rsidR="00277405" w:rsidRPr="00940884">
              <w:rPr>
                <w:sz w:val="20"/>
                <w:szCs w:val="20"/>
                <w:lang w:val="en-US"/>
              </w:rPr>
              <w:t xml:space="preserve"> (</w:t>
            </w:r>
            <w:r w:rsidRPr="00940884">
              <w:rPr>
                <w:sz w:val="20"/>
                <w:szCs w:val="20"/>
                <w:lang w:val="en-US"/>
              </w:rPr>
              <w:t>13.7</w:t>
            </w:r>
            <w:r w:rsidR="00277405" w:rsidRPr="00940884">
              <w:rPr>
                <w:sz w:val="20"/>
                <w:szCs w:val="20"/>
                <w:lang w:val="en-US"/>
              </w:rPr>
              <w:t>)</w:t>
            </w:r>
          </w:p>
        </w:tc>
        <w:tc>
          <w:tcPr>
            <w:tcW w:w="882" w:type="dxa"/>
            <w:vMerge/>
          </w:tcPr>
          <w:p w14:paraId="4B60A9B7" w14:textId="77777777" w:rsidR="00277405" w:rsidRPr="00940884" w:rsidRDefault="00277405" w:rsidP="00F55B1D">
            <w:pPr>
              <w:spacing w:line="360" w:lineRule="auto"/>
              <w:jc w:val="center"/>
              <w:rPr>
                <w:sz w:val="20"/>
                <w:szCs w:val="20"/>
                <w:lang w:val="en-US"/>
              </w:rPr>
            </w:pPr>
          </w:p>
        </w:tc>
      </w:tr>
      <w:tr w:rsidR="00277405" w:rsidRPr="00940884" w14:paraId="6AC3A77F" w14:textId="77777777" w:rsidTr="00F55B1D">
        <w:tc>
          <w:tcPr>
            <w:tcW w:w="1842" w:type="dxa"/>
            <w:vMerge/>
          </w:tcPr>
          <w:p w14:paraId="1615D6F9" w14:textId="77777777" w:rsidR="00277405" w:rsidRPr="00940884" w:rsidRDefault="00277405" w:rsidP="00F55B1D">
            <w:pPr>
              <w:spacing w:line="360" w:lineRule="auto"/>
              <w:jc w:val="both"/>
              <w:rPr>
                <w:b/>
                <w:sz w:val="20"/>
                <w:szCs w:val="20"/>
                <w:lang w:val="en-US"/>
              </w:rPr>
            </w:pPr>
          </w:p>
        </w:tc>
        <w:tc>
          <w:tcPr>
            <w:tcW w:w="3653" w:type="dxa"/>
          </w:tcPr>
          <w:p w14:paraId="5EE4C54E" w14:textId="77777777" w:rsidR="00277405" w:rsidRPr="00940884" w:rsidRDefault="00277405" w:rsidP="00F55B1D">
            <w:pPr>
              <w:spacing w:line="360" w:lineRule="auto"/>
              <w:jc w:val="both"/>
              <w:rPr>
                <w:sz w:val="20"/>
                <w:szCs w:val="20"/>
                <w:lang w:val="en-US"/>
              </w:rPr>
            </w:pPr>
            <w:r w:rsidRPr="00940884">
              <w:rPr>
                <w:sz w:val="20"/>
                <w:szCs w:val="20"/>
                <w:lang w:val="en-US"/>
              </w:rPr>
              <w:t>Previous stroke (%)</w:t>
            </w:r>
          </w:p>
        </w:tc>
        <w:tc>
          <w:tcPr>
            <w:tcW w:w="1417" w:type="dxa"/>
          </w:tcPr>
          <w:p w14:paraId="097219AE" w14:textId="77777777" w:rsidR="00277405" w:rsidRPr="00940884" w:rsidRDefault="000E497B" w:rsidP="000E497B">
            <w:pPr>
              <w:spacing w:line="360" w:lineRule="auto"/>
              <w:jc w:val="center"/>
              <w:rPr>
                <w:sz w:val="20"/>
                <w:szCs w:val="20"/>
                <w:lang w:val="en-US"/>
              </w:rPr>
            </w:pPr>
            <w:r w:rsidRPr="00940884">
              <w:rPr>
                <w:sz w:val="20"/>
                <w:szCs w:val="20"/>
                <w:lang w:val="en-US"/>
              </w:rPr>
              <w:t>71</w:t>
            </w:r>
            <w:r w:rsidR="00277405" w:rsidRPr="00940884">
              <w:rPr>
                <w:sz w:val="20"/>
                <w:szCs w:val="20"/>
                <w:lang w:val="en-US"/>
              </w:rPr>
              <w:t xml:space="preserve"> (</w:t>
            </w:r>
            <w:r w:rsidRPr="00940884">
              <w:rPr>
                <w:sz w:val="20"/>
                <w:szCs w:val="20"/>
                <w:lang w:val="en-US"/>
              </w:rPr>
              <w:t>30.7</w:t>
            </w:r>
            <w:r w:rsidR="00277405" w:rsidRPr="00940884">
              <w:rPr>
                <w:sz w:val="20"/>
                <w:szCs w:val="20"/>
                <w:lang w:val="en-US"/>
              </w:rPr>
              <w:t>)</w:t>
            </w:r>
          </w:p>
        </w:tc>
        <w:tc>
          <w:tcPr>
            <w:tcW w:w="1418" w:type="dxa"/>
          </w:tcPr>
          <w:p w14:paraId="794FE19A" w14:textId="77777777" w:rsidR="00277405" w:rsidRPr="00940884" w:rsidRDefault="000E497B" w:rsidP="000E497B">
            <w:pPr>
              <w:spacing w:line="360" w:lineRule="auto"/>
              <w:jc w:val="center"/>
              <w:rPr>
                <w:sz w:val="20"/>
                <w:szCs w:val="20"/>
                <w:lang w:val="en-US"/>
              </w:rPr>
            </w:pPr>
            <w:r w:rsidRPr="00940884">
              <w:rPr>
                <w:sz w:val="20"/>
                <w:szCs w:val="20"/>
                <w:lang w:val="en-US"/>
              </w:rPr>
              <w:t>26</w:t>
            </w:r>
            <w:r w:rsidR="00277405" w:rsidRPr="00940884">
              <w:rPr>
                <w:sz w:val="20"/>
                <w:szCs w:val="20"/>
                <w:lang w:val="en-US"/>
              </w:rPr>
              <w:t xml:space="preserve"> (</w:t>
            </w:r>
            <w:r w:rsidRPr="00940884">
              <w:rPr>
                <w:sz w:val="20"/>
                <w:szCs w:val="20"/>
                <w:lang w:val="en-US"/>
              </w:rPr>
              <w:t>19.8</w:t>
            </w:r>
            <w:r w:rsidR="00277405" w:rsidRPr="00940884">
              <w:rPr>
                <w:sz w:val="20"/>
                <w:szCs w:val="20"/>
                <w:lang w:val="en-US"/>
              </w:rPr>
              <w:t>)</w:t>
            </w:r>
          </w:p>
        </w:tc>
        <w:tc>
          <w:tcPr>
            <w:tcW w:w="882" w:type="dxa"/>
          </w:tcPr>
          <w:p w14:paraId="088ED665" w14:textId="77777777" w:rsidR="00277405" w:rsidRPr="00940884" w:rsidRDefault="000E497B" w:rsidP="000E497B">
            <w:pPr>
              <w:spacing w:line="360" w:lineRule="auto"/>
              <w:jc w:val="center"/>
              <w:rPr>
                <w:sz w:val="20"/>
                <w:szCs w:val="20"/>
                <w:lang w:val="en-US"/>
              </w:rPr>
            </w:pPr>
            <w:r w:rsidRPr="00940884">
              <w:rPr>
                <w:sz w:val="20"/>
                <w:szCs w:val="20"/>
                <w:lang w:val="en-US"/>
              </w:rPr>
              <w:t>0.28</w:t>
            </w:r>
            <w:r w:rsidR="00277405" w:rsidRPr="00940884">
              <w:rPr>
                <w:sz w:val="20"/>
                <w:szCs w:val="20"/>
                <w:lang w:val="en-US"/>
              </w:rPr>
              <w:t>*</w:t>
            </w:r>
          </w:p>
        </w:tc>
      </w:tr>
      <w:tr w:rsidR="00277405" w:rsidRPr="00940884" w14:paraId="4DDC687F" w14:textId="77777777" w:rsidTr="00F55B1D">
        <w:tc>
          <w:tcPr>
            <w:tcW w:w="1842" w:type="dxa"/>
            <w:vMerge/>
          </w:tcPr>
          <w:p w14:paraId="6EFDA5ED" w14:textId="77777777" w:rsidR="00277405" w:rsidRPr="00940884" w:rsidRDefault="00277405" w:rsidP="00F55B1D">
            <w:pPr>
              <w:spacing w:line="360" w:lineRule="auto"/>
              <w:jc w:val="both"/>
              <w:rPr>
                <w:b/>
                <w:sz w:val="20"/>
                <w:szCs w:val="20"/>
                <w:lang w:val="en-US"/>
              </w:rPr>
            </w:pPr>
          </w:p>
        </w:tc>
        <w:tc>
          <w:tcPr>
            <w:tcW w:w="3653" w:type="dxa"/>
          </w:tcPr>
          <w:p w14:paraId="13D3596E" w14:textId="77777777" w:rsidR="00277405" w:rsidRPr="00940884" w:rsidRDefault="00277405" w:rsidP="00F55B1D">
            <w:pPr>
              <w:spacing w:line="360" w:lineRule="auto"/>
              <w:jc w:val="both"/>
              <w:rPr>
                <w:sz w:val="20"/>
                <w:szCs w:val="20"/>
                <w:lang w:val="en-US"/>
              </w:rPr>
            </w:pPr>
            <w:r w:rsidRPr="00940884">
              <w:rPr>
                <w:sz w:val="20"/>
                <w:szCs w:val="20"/>
                <w:lang w:val="en-US"/>
              </w:rPr>
              <w:t>Coronary heart disease (%)</w:t>
            </w:r>
          </w:p>
        </w:tc>
        <w:tc>
          <w:tcPr>
            <w:tcW w:w="1417" w:type="dxa"/>
          </w:tcPr>
          <w:p w14:paraId="2E1A8CD4" w14:textId="77777777" w:rsidR="00277405" w:rsidRPr="00940884" w:rsidRDefault="000E497B" w:rsidP="000E497B">
            <w:pPr>
              <w:spacing w:line="360" w:lineRule="auto"/>
              <w:jc w:val="center"/>
              <w:rPr>
                <w:sz w:val="20"/>
                <w:szCs w:val="20"/>
                <w:lang w:val="en-US"/>
              </w:rPr>
            </w:pPr>
            <w:r w:rsidRPr="00940884">
              <w:rPr>
                <w:sz w:val="20"/>
                <w:szCs w:val="20"/>
                <w:lang w:val="en-US"/>
              </w:rPr>
              <w:t>72</w:t>
            </w:r>
            <w:r w:rsidR="00277405" w:rsidRPr="00940884">
              <w:rPr>
                <w:sz w:val="20"/>
                <w:szCs w:val="20"/>
                <w:lang w:val="en-US"/>
              </w:rPr>
              <w:t xml:space="preserve"> (</w:t>
            </w:r>
            <w:r w:rsidRPr="00940884">
              <w:rPr>
                <w:sz w:val="20"/>
                <w:szCs w:val="20"/>
                <w:lang w:val="en-US"/>
              </w:rPr>
              <w:t>31.2</w:t>
            </w:r>
            <w:r w:rsidR="00277405" w:rsidRPr="00940884">
              <w:rPr>
                <w:sz w:val="20"/>
                <w:szCs w:val="20"/>
                <w:lang w:val="en-US"/>
              </w:rPr>
              <w:t>)</w:t>
            </w:r>
          </w:p>
        </w:tc>
        <w:tc>
          <w:tcPr>
            <w:tcW w:w="1418" w:type="dxa"/>
          </w:tcPr>
          <w:p w14:paraId="4B997FE0" w14:textId="77777777" w:rsidR="00277405" w:rsidRPr="00940884" w:rsidRDefault="000E497B" w:rsidP="000E497B">
            <w:pPr>
              <w:spacing w:line="360" w:lineRule="auto"/>
              <w:jc w:val="center"/>
              <w:rPr>
                <w:sz w:val="20"/>
                <w:szCs w:val="20"/>
                <w:lang w:val="en-US"/>
              </w:rPr>
            </w:pPr>
            <w:r w:rsidRPr="00940884">
              <w:rPr>
                <w:sz w:val="20"/>
                <w:szCs w:val="20"/>
                <w:lang w:val="en-US"/>
              </w:rPr>
              <w:t>33</w:t>
            </w:r>
            <w:r w:rsidR="00277405" w:rsidRPr="00940884">
              <w:rPr>
                <w:sz w:val="20"/>
                <w:szCs w:val="20"/>
                <w:lang w:val="en-US"/>
              </w:rPr>
              <w:t xml:space="preserve"> (</w:t>
            </w:r>
            <w:r w:rsidRPr="00940884">
              <w:rPr>
                <w:sz w:val="20"/>
                <w:szCs w:val="20"/>
                <w:lang w:val="en-US"/>
              </w:rPr>
              <w:t>25.2</w:t>
            </w:r>
            <w:r w:rsidR="00277405" w:rsidRPr="00940884">
              <w:rPr>
                <w:sz w:val="20"/>
                <w:szCs w:val="20"/>
                <w:lang w:val="en-US"/>
              </w:rPr>
              <w:t>)</w:t>
            </w:r>
          </w:p>
        </w:tc>
        <w:tc>
          <w:tcPr>
            <w:tcW w:w="882" w:type="dxa"/>
          </w:tcPr>
          <w:p w14:paraId="5ACB8C90" w14:textId="77777777" w:rsidR="00277405" w:rsidRPr="00940884" w:rsidRDefault="00277405" w:rsidP="00F55B1D">
            <w:pPr>
              <w:spacing w:line="360" w:lineRule="auto"/>
              <w:jc w:val="center"/>
              <w:rPr>
                <w:b/>
                <w:sz w:val="20"/>
                <w:szCs w:val="20"/>
                <w:lang w:val="en-US"/>
              </w:rPr>
            </w:pPr>
            <w:r w:rsidRPr="00940884">
              <w:rPr>
                <w:b/>
                <w:sz w:val="20"/>
                <w:szCs w:val="20"/>
                <w:lang w:val="en-US"/>
              </w:rPr>
              <w:t>0.026*</w:t>
            </w:r>
          </w:p>
        </w:tc>
      </w:tr>
      <w:tr w:rsidR="00277405" w:rsidRPr="00940884" w14:paraId="14ACF49D" w14:textId="77777777" w:rsidTr="00F55B1D">
        <w:tc>
          <w:tcPr>
            <w:tcW w:w="1842" w:type="dxa"/>
            <w:vMerge w:val="restart"/>
          </w:tcPr>
          <w:p w14:paraId="1BA1B777" w14:textId="77777777" w:rsidR="00277405" w:rsidRPr="00940884" w:rsidRDefault="00277405" w:rsidP="00F55B1D">
            <w:pPr>
              <w:spacing w:line="360" w:lineRule="auto"/>
              <w:jc w:val="both"/>
              <w:rPr>
                <w:b/>
                <w:sz w:val="20"/>
                <w:szCs w:val="20"/>
                <w:lang w:val="en-US"/>
              </w:rPr>
            </w:pPr>
            <w:r w:rsidRPr="00940884">
              <w:rPr>
                <w:b/>
                <w:sz w:val="20"/>
                <w:szCs w:val="20"/>
                <w:lang w:val="en-US"/>
              </w:rPr>
              <w:t>Site of occlusion</w:t>
            </w:r>
          </w:p>
        </w:tc>
        <w:tc>
          <w:tcPr>
            <w:tcW w:w="3653" w:type="dxa"/>
          </w:tcPr>
          <w:p w14:paraId="26081637" w14:textId="77777777" w:rsidR="00277405" w:rsidRPr="00940884" w:rsidRDefault="00277405" w:rsidP="00F55B1D">
            <w:pPr>
              <w:spacing w:line="360" w:lineRule="auto"/>
              <w:jc w:val="both"/>
              <w:rPr>
                <w:sz w:val="20"/>
                <w:szCs w:val="20"/>
                <w:lang w:val="en-US"/>
              </w:rPr>
            </w:pPr>
            <w:r w:rsidRPr="00940884">
              <w:rPr>
                <w:sz w:val="20"/>
                <w:szCs w:val="20"/>
                <w:lang w:val="en-US"/>
              </w:rPr>
              <w:t>Proximal CA (%)</w:t>
            </w:r>
          </w:p>
        </w:tc>
        <w:tc>
          <w:tcPr>
            <w:tcW w:w="1417" w:type="dxa"/>
          </w:tcPr>
          <w:p w14:paraId="1F49087C" w14:textId="77777777" w:rsidR="00277405" w:rsidRPr="00940884" w:rsidRDefault="00277405" w:rsidP="00277405">
            <w:pPr>
              <w:spacing w:line="360" w:lineRule="auto"/>
              <w:jc w:val="center"/>
              <w:rPr>
                <w:sz w:val="20"/>
                <w:szCs w:val="20"/>
                <w:lang w:val="en-US"/>
              </w:rPr>
            </w:pPr>
            <w:r w:rsidRPr="00940884">
              <w:rPr>
                <w:sz w:val="20"/>
                <w:szCs w:val="20"/>
                <w:lang w:val="en-US"/>
              </w:rPr>
              <w:t>10 (4.3)</w:t>
            </w:r>
          </w:p>
        </w:tc>
        <w:tc>
          <w:tcPr>
            <w:tcW w:w="1418" w:type="dxa"/>
          </w:tcPr>
          <w:p w14:paraId="4FD741FB" w14:textId="77777777" w:rsidR="00277405" w:rsidRPr="00940884" w:rsidRDefault="00277405" w:rsidP="00277405">
            <w:pPr>
              <w:spacing w:line="360" w:lineRule="auto"/>
              <w:jc w:val="center"/>
              <w:rPr>
                <w:sz w:val="20"/>
                <w:szCs w:val="20"/>
                <w:lang w:val="en-US"/>
              </w:rPr>
            </w:pPr>
            <w:r w:rsidRPr="00940884">
              <w:rPr>
                <w:sz w:val="20"/>
                <w:szCs w:val="20"/>
                <w:lang w:val="en-US"/>
              </w:rPr>
              <w:t>6 (4.6)</w:t>
            </w:r>
          </w:p>
        </w:tc>
        <w:tc>
          <w:tcPr>
            <w:tcW w:w="882" w:type="dxa"/>
            <w:vMerge w:val="restart"/>
          </w:tcPr>
          <w:p w14:paraId="100B1839" w14:textId="77777777" w:rsidR="00277405" w:rsidRPr="00940884" w:rsidRDefault="00277405" w:rsidP="00277405">
            <w:pPr>
              <w:spacing w:line="360" w:lineRule="auto"/>
              <w:jc w:val="center"/>
              <w:rPr>
                <w:sz w:val="20"/>
                <w:szCs w:val="20"/>
                <w:lang w:val="en-US"/>
              </w:rPr>
            </w:pPr>
            <w:r w:rsidRPr="00940884">
              <w:rPr>
                <w:sz w:val="20"/>
                <w:szCs w:val="20"/>
                <w:lang w:val="en-US"/>
              </w:rPr>
              <w:t>0.27*</w:t>
            </w:r>
          </w:p>
        </w:tc>
      </w:tr>
      <w:tr w:rsidR="00277405" w:rsidRPr="00940884" w14:paraId="7A747F97" w14:textId="77777777" w:rsidTr="00F55B1D">
        <w:tc>
          <w:tcPr>
            <w:tcW w:w="1842" w:type="dxa"/>
            <w:vMerge/>
          </w:tcPr>
          <w:p w14:paraId="4A30DD76" w14:textId="77777777" w:rsidR="00277405" w:rsidRPr="00940884" w:rsidRDefault="00277405" w:rsidP="00F55B1D">
            <w:pPr>
              <w:spacing w:line="360" w:lineRule="auto"/>
              <w:jc w:val="both"/>
              <w:rPr>
                <w:b/>
                <w:sz w:val="20"/>
                <w:szCs w:val="20"/>
                <w:lang w:val="en-US"/>
              </w:rPr>
            </w:pPr>
          </w:p>
        </w:tc>
        <w:tc>
          <w:tcPr>
            <w:tcW w:w="3653" w:type="dxa"/>
          </w:tcPr>
          <w:p w14:paraId="4FACDB12" w14:textId="77777777" w:rsidR="00277405" w:rsidRPr="00940884" w:rsidRDefault="00277405" w:rsidP="00F55B1D">
            <w:pPr>
              <w:spacing w:line="360" w:lineRule="auto"/>
              <w:jc w:val="both"/>
              <w:rPr>
                <w:sz w:val="20"/>
                <w:szCs w:val="20"/>
                <w:lang w:val="en-US"/>
              </w:rPr>
            </w:pPr>
            <w:r w:rsidRPr="00940884">
              <w:rPr>
                <w:sz w:val="20"/>
                <w:szCs w:val="20"/>
                <w:lang w:val="en-US"/>
              </w:rPr>
              <w:t>Tandem (%)</w:t>
            </w:r>
            <w:bookmarkStart w:id="0" w:name="_GoBack"/>
            <w:bookmarkEnd w:id="0"/>
          </w:p>
        </w:tc>
        <w:tc>
          <w:tcPr>
            <w:tcW w:w="1417" w:type="dxa"/>
          </w:tcPr>
          <w:p w14:paraId="355D2E43" w14:textId="77777777" w:rsidR="00277405" w:rsidRPr="00940884" w:rsidRDefault="00277405" w:rsidP="00277405">
            <w:pPr>
              <w:spacing w:line="360" w:lineRule="auto"/>
              <w:jc w:val="center"/>
              <w:rPr>
                <w:sz w:val="20"/>
                <w:szCs w:val="20"/>
                <w:lang w:val="en-US"/>
              </w:rPr>
            </w:pPr>
            <w:r w:rsidRPr="00940884">
              <w:rPr>
                <w:sz w:val="20"/>
                <w:szCs w:val="20"/>
                <w:lang w:val="en-US"/>
              </w:rPr>
              <w:t>21 (9.1)</w:t>
            </w:r>
          </w:p>
        </w:tc>
        <w:tc>
          <w:tcPr>
            <w:tcW w:w="1418" w:type="dxa"/>
          </w:tcPr>
          <w:p w14:paraId="52C48952" w14:textId="77777777" w:rsidR="00277405" w:rsidRPr="00940884" w:rsidRDefault="00277405" w:rsidP="00277405">
            <w:pPr>
              <w:spacing w:line="360" w:lineRule="auto"/>
              <w:jc w:val="center"/>
              <w:rPr>
                <w:sz w:val="20"/>
                <w:szCs w:val="20"/>
                <w:lang w:val="en-US"/>
              </w:rPr>
            </w:pPr>
            <w:r w:rsidRPr="00940884">
              <w:rPr>
                <w:sz w:val="20"/>
                <w:szCs w:val="20"/>
                <w:lang w:val="en-US"/>
              </w:rPr>
              <w:t>22 (16.8)</w:t>
            </w:r>
          </w:p>
        </w:tc>
        <w:tc>
          <w:tcPr>
            <w:tcW w:w="882" w:type="dxa"/>
            <w:vMerge/>
          </w:tcPr>
          <w:p w14:paraId="58D4E57B" w14:textId="77777777" w:rsidR="00277405" w:rsidRPr="00940884" w:rsidRDefault="00277405" w:rsidP="00F55B1D">
            <w:pPr>
              <w:spacing w:line="360" w:lineRule="auto"/>
              <w:jc w:val="center"/>
              <w:rPr>
                <w:sz w:val="20"/>
                <w:szCs w:val="20"/>
                <w:lang w:val="en-US"/>
              </w:rPr>
            </w:pPr>
          </w:p>
        </w:tc>
      </w:tr>
      <w:tr w:rsidR="00277405" w:rsidRPr="00940884" w14:paraId="26BF6A37" w14:textId="77777777" w:rsidTr="00F55B1D">
        <w:tc>
          <w:tcPr>
            <w:tcW w:w="1842" w:type="dxa"/>
            <w:vMerge/>
          </w:tcPr>
          <w:p w14:paraId="624FB0E0" w14:textId="77777777" w:rsidR="00277405" w:rsidRPr="00940884" w:rsidRDefault="00277405" w:rsidP="00F55B1D">
            <w:pPr>
              <w:spacing w:line="360" w:lineRule="auto"/>
              <w:jc w:val="both"/>
              <w:rPr>
                <w:b/>
                <w:sz w:val="20"/>
                <w:szCs w:val="20"/>
                <w:lang w:val="en-US"/>
              </w:rPr>
            </w:pPr>
          </w:p>
        </w:tc>
        <w:tc>
          <w:tcPr>
            <w:tcW w:w="3653" w:type="dxa"/>
          </w:tcPr>
          <w:p w14:paraId="2641664E" w14:textId="77777777" w:rsidR="00277405" w:rsidRPr="00940884" w:rsidRDefault="00277405" w:rsidP="00F55B1D">
            <w:pPr>
              <w:spacing w:line="360" w:lineRule="auto"/>
              <w:jc w:val="both"/>
              <w:rPr>
                <w:sz w:val="20"/>
                <w:szCs w:val="20"/>
                <w:lang w:val="en-US"/>
              </w:rPr>
            </w:pPr>
            <w:r w:rsidRPr="00940884">
              <w:rPr>
                <w:sz w:val="20"/>
                <w:szCs w:val="20"/>
                <w:lang w:val="en-US"/>
              </w:rPr>
              <w:t>Distal CA (%)</w:t>
            </w:r>
          </w:p>
        </w:tc>
        <w:tc>
          <w:tcPr>
            <w:tcW w:w="1417" w:type="dxa"/>
          </w:tcPr>
          <w:p w14:paraId="35FE8B83" w14:textId="77777777" w:rsidR="00277405" w:rsidRPr="00940884" w:rsidRDefault="00277405" w:rsidP="00277405">
            <w:pPr>
              <w:spacing w:line="360" w:lineRule="auto"/>
              <w:jc w:val="center"/>
              <w:rPr>
                <w:sz w:val="20"/>
                <w:szCs w:val="20"/>
                <w:lang w:val="en-US"/>
              </w:rPr>
            </w:pPr>
            <w:r w:rsidRPr="00940884">
              <w:rPr>
                <w:sz w:val="20"/>
                <w:szCs w:val="20"/>
                <w:lang w:val="en-US"/>
              </w:rPr>
              <w:t>42 (18.2)</w:t>
            </w:r>
          </w:p>
        </w:tc>
        <w:tc>
          <w:tcPr>
            <w:tcW w:w="1418" w:type="dxa"/>
          </w:tcPr>
          <w:p w14:paraId="013AFDE1" w14:textId="77777777" w:rsidR="00277405" w:rsidRPr="00940884" w:rsidRDefault="00277405" w:rsidP="00277405">
            <w:pPr>
              <w:spacing w:line="360" w:lineRule="auto"/>
              <w:jc w:val="center"/>
              <w:rPr>
                <w:sz w:val="20"/>
                <w:szCs w:val="20"/>
                <w:lang w:val="en-US"/>
              </w:rPr>
            </w:pPr>
            <w:r w:rsidRPr="00940884">
              <w:rPr>
                <w:sz w:val="20"/>
                <w:szCs w:val="20"/>
                <w:lang w:val="en-US"/>
              </w:rPr>
              <w:t>20 (15.3)</w:t>
            </w:r>
          </w:p>
        </w:tc>
        <w:tc>
          <w:tcPr>
            <w:tcW w:w="882" w:type="dxa"/>
            <w:vMerge/>
          </w:tcPr>
          <w:p w14:paraId="4F2A59AF" w14:textId="77777777" w:rsidR="00277405" w:rsidRPr="00940884" w:rsidRDefault="00277405" w:rsidP="00F55B1D">
            <w:pPr>
              <w:spacing w:line="360" w:lineRule="auto"/>
              <w:jc w:val="center"/>
              <w:rPr>
                <w:sz w:val="20"/>
                <w:szCs w:val="20"/>
                <w:lang w:val="en-US"/>
              </w:rPr>
            </w:pPr>
          </w:p>
        </w:tc>
      </w:tr>
      <w:tr w:rsidR="00277405" w:rsidRPr="00940884" w14:paraId="7F7C5AFC" w14:textId="77777777" w:rsidTr="00F55B1D">
        <w:tc>
          <w:tcPr>
            <w:tcW w:w="1842" w:type="dxa"/>
            <w:vMerge/>
          </w:tcPr>
          <w:p w14:paraId="185A848B" w14:textId="77777777" w:rsidR="00277405" w:rsidRPr="00940884" w:rsidRDefault="00277405" w:rsidP="00F55B1D">
            <w:pPr>
              <w:spacing w:line="360" w:lineRule="auto"/>
              <w:jc w:val="both"/>
              <w:rPr>
                <w:b/>
                <w:sz w:val="20"/>
                <w:szCs w:val="20"/>
                <w:lang w:val="en-US"/>
              </w:rPr>
            </w:pPr>
          </w:p>
        </w:tc>
        <w:tc>
          <w:tcPr>
            <w:tcW w:w="3653" w:type="dxa"/>
          </w:tcPr>
          <w:p w14:paraId="639B83B0" w14:textId="77777777" w:rsidR="00277405" w:rsidRPr="00940884" w:rsidRDefault="00277405" w:rsidP="00F55B1D">
            <w:pPr>
              <w:spacing w:line="360" w:lineRule="auto"/>
              <w:jc w:val="both"/>
              <w:rPr>
                <w:sz w:val="20"/>
                <w:szCs w:val="20"/>
                <w:lang w:val="en-US"/>
              </w:rPr>
            </w:pPr>
            <w:r w:rsidRPr="00940884">
              <w:rPr>
                <w:sz w:val="20"/>
                <w:szCs w:val="20"/>
                <w:lang w:val="en-US"/>
              </w:rPr>
              <w:t>M1 (%)</w:t>
            </w:r>
          </w:p>
        </w:tc>
        <w:tc>
          <w:tcPr>
            <w:tcW w:w="1417" w:type="dxa"/>
          </w:tcPr>
          <w:p w14:paraId="6017E3CF" w14:textId="77777777" w:rsidR="00277405" w:rsidRPr="00940884" w:rsidRDefault="00277405" w:rsidP="00277405">
            <w:pPr>
              <w:spacing w:line="360" w:lineRule="auto"/>
              <w:jc w:val="center"/>
              <w:rPr>
                <w:sz w:val="20"/>
                <w:szCs w:val="20"/>
                <w:lang w:val="en-US"/>
              </w:rPr>
            </w:pPr>
            <w:r w:rsidRPr="00940884">
              <w:rPr>
                <w:sz w:val="20"/>
                <w:szCs w:val="20"/>
                <w:lang w:val="en-US"/>
              </w:rPr>
              <w:t>113 (48.9)</w:t>
            </w:r>
          </w:p>
        </w:tc>
        <w:tc>
          <w:tcPr>
            <w:tcW w:w="1418" w:type="dxa"/>
          </w:tcPr>
          <w:p w14:paraId="0F8B531F" w14:textId="77777777" w:rsidR="00277405" w:rsidRPr="00940884" w:rsidRDefault="00277405" w:rsidP="00277405">
            <w:pPr>
              <w:spacing w:line="360" w:lineRule="auto"/>
              <w:jc w:val="center"/>
              <w:rPr>
                <w:sz w:val="20"/>
                <w:szCs w:val="20"/>
                <w:lang w:val="en-US"/>
              </w:rPr>
            </w:pPr>
            <w:r w:rsidRPr="00940884">
              <w:rPr>
                <w:sz w:val="20"/>
                <w:szCs w:val="20"/>
                <w:lang w:val="en-US"/>
              </w:rPr>
              <w:t>56 (42.7)</w:t>
            </w:r>
          </w:p>
        </w:tc>
        <w:tc>
          <w:tcPr>
            <w:tcW w:w="882" w:type="dxa"/>
            <w:vMerge/>
          </w:tcPr>
          <w:p w14:paraId="6F007459" w14:textId="77777777" w:rsidR="00277405" w:rsidRPr="00940884" w:rsidRDefault="00277405" w:rsidP="00F55B1D">
            <w:pPr>
              <w:spacing w:line="360" w:lineRule="auto"/>
              <w:jc w:val="center"/>
              <w:rPr>
                <w:sz w:val="20"/>
                <w:szCs w:val="20"/>
                <w:lang w:val="en-US"/>
              </w:rPr>
            </w:pPr>
          </w:p>
        </w:tc>
      </w:tr>
      <w:tr w:rsidR="00277405" w:rsidRPr="00940884" w14:paraId="46078BA7" w14:textId="77777777" w:rsidTr="00F55B1D">
        <w:tc>
          <w:tcPr>
            <w:tcW w:w="1842" w:type="dxa"/>
            <w:vMerge/>
          </w:tcPr>
          <w:p w14:paraId="60BB8209" w14:textId="77777777" w:rsidR="00277405" w:rsidRPr="00940884" w:rsidRDefault="00277405" w:rsidP="00F55B1D">
            <w:pPr>
              <w:spacing w:line="360" w:lineRule="auto"/>
              <w:jc w:val="both"/>
              <w:rPr>
                <w:b/>
                <w:sz w:val="20"/>
                <w:szCs w:val="20"/>
                <w:lang w:val="en-US"/>
              </w:rPr>
            </w:pPr>
          </w:p>
        </w:tc>
        <w:tc>
          <w:tcPr>
            <w:tcW w:w="3653" w:type="dxa"/>
          </w:tcPr>
          <w:p w14:paraId="1478834A" w14:textId="77777777" w:rsidR="00277405" w:rsidRPr="00940884" w:rsidRDefault="00277405" w:rsidP="00F55B1D">
            <w:pPr>
              <w:spacing w:line="360" w:lineRule="auto"/>
              <w:jc w:val="both"/>
              <w:rPr>
                <w:sz w:val="20"/>
                <w:szCs w:val="20"/>
                <w:lang w:val="en-US"/>
              </w:rPr>
            </w:pPr>
            <w:r w:rsidRPr="00940884">
              <w:rPr>
                <w:sz w:val="20"/>
                <w:szCs w:val="20"/>
                <w:lang w:val="en-US"/>
              </w:rPr>
              <w:t>M2 (%)</w:t>
            </w:r>
          </w:p>
        </w:tc>
        <w:tc>
          <w:tcPr>
            <w:tcW w:w="1417" w:type="dxa"/>
          </w:tcPr>
          <w:p w14:paraId="6E517690" w14:textId="77777777" w:rsidR="00277405" w:rsidRPr="00940884" w:rsidRDefault="00277405" w:rsidP="00F55B1D">
            <w:pPr>
              <w:spacing w:line="360" w:lineRule="auto"/>
              <w:jc w:val="center"/>
              <w:rPr>
                <w:sz w:val="20"/>
                <w:szCs w:val="20"/>
                <w:lang w:val="en-US"/>
              </w:rPr>
            </w:pPr>
            <w:r w:rsidRPr="00940884">
              <w:rPr>
                <w:sz w:val="20"/>
                <w:szCs w:val="20"/>
                <w:lang w:val="en-US"/>
              </w:rPr>
              <w:t>45 (19.5)</w:t>
            </w:r>
          </w:p>
        </w:tc>
        <w:tc>
          <w:tcPr>
            <w:tcW w:w="1418" w:type="dxa"/>
          </w:tcPr>
          <w:p w14:paraId="463E537F" w14:textId="77777777" w:rsidR="00277405" w:rsidRPr="00940884" w:rsidRDefault="00277405" w:rsidP="00277405">
            <w:pPr>
              <w:spacing w:line="360" w:lineRule="auto"/>
              <w:jc w:val="center"/>
              <w:rPr>
                <w:sz w:val="20"/>
                <w:szCs w:val="20"/>
                <w:lang w:val="en-US"/>
              </w:rPr>
            </w:pPr>
            <w:r w:rsidRPr="00940884">
              <w:rPr>
                <w:sz w:val="20"/>
                <w:szCs w:val="20"/>
                <w:lang w:val="en-US"/>
              </w:rPr>
              <w:t>27 (20.6)</w:t>
            </w:r>
          </w:p>
        </w:tc>
        <w:tc>
          <w:tcPr>
            <w:tcW w:w="882" w:type="dxa"/>
            <w:vMerge/>
          </w:tcPr>
          <w:p w14:paraId="6015F93D" w14:textId="77777777" w:rsidR="00277405" w:rsidRPr="00940884" w:rsidRDefault="00277405" w:rsidP="00F55B1D">
            <w:pPr>
              <w:spacing w:line="360" w:lineRule="auto"/>
              <w:jc w:val="center"/>
              <w:rPr>
                <w:sz w:val="20"/>
                <w:szCs w:val="20"/>
                <w:lang w:val="en-US"/>
              </w:rPr>
            </w:pPr>
          </w:p>
        </w:tc>
      </w:tr>
      <w:tr w:rsidR="00277405" w:rsidRPr="00940884" w14:paraId="7CA8360F" w14:textId="77777777" w:rsidTr="00F55B1D">
        <w:tc>
          <w:tcPr>
            <w:tcW w:w="1842" w:type="dxa"/>
            <w:vMerge w:val="restart"/>
          </w:tcPr>
          <w:p w14:paraId="2A854E20" w14:textId="77777777" w:rsidR="00277405" w:rsidRPr="00940884" w:rsidRDefault="00277405" w:rsidP="00F55B1D">
            <w:pPr>
              <w:spacing w:line="360" w:lineRule="auto"/>
              <w:jc w:val="both"/>
              <w:rPr>
                <w:b/>
                <w:sz w:val="20"/>
                <w:szCs w:val="20"/>
                <w:lang w:val="en-US"/>
              </w:rPr>
            </w:pPr>
            <w:r w:rsidRPr="00940884">
              <w:rPr>
                <w:b/>
                <w:sz w:val="20"/>
                <w:szCs w:val="20"/>
                <w:lang w:val="en-US"/>
              </w:rPr>
              <w:t>Brain imaging</w:t>
            </w:r>
          </w:p>
        </w:tc>
        <w:tc>
          <w:tcPr>
            <w:tcW w:w="3653" w:type="dxa"/>
          </w:tcPr>
          <w:p w14:paraId="5712EDE7" w14:textId="77777777" w:rsidR="00277405" w:rsidRPr="00940884" w:rsidRDefault="00277405" w:rsidP="00F55B1D">
            <w:pPr>
              <w:spacing w:line="360" w:lineRule="auto"/>
              <w:jc w:val="both"/>
              <w:rPr>
                <w:sz w:val="20"/>
                <w:szCs w:val="20"/>
                <w:lang w:val="en-US"/>
              </w:rPr>
            </w:pPr>
            <w:r w:rsidRPr="00940884">
              <w:rPr>
                <w:sz w:val="20"/>
                <w:szCs w:val="20"/>
                <w:lang w:val="en-US"/>
              </w:rPr>
              <w:t>MRI (%)</w:t>
            </w:r>
          </w:p>
        </w:tc>
        <w:tc>
          <w:tcPr>
            <w:tcW w:w="1417" w:type="dxa"/>
          </w:tcPr>
          <w:p w14:paraId="0C3D8D50" w14:textId="77777777" w:rsidR="00277405" w:rsidRPr="00940884" w:rsidRDefault="00277405" w:rsidP="00277405">
            <w:pPr>
              <w:spacing w:line="360" w:lineRule="auto"/>
              <w:jc w:val="center"/>
              <w:rPr>
                <w:sz w:val="20"/>
                <w:szCs w:val="20"/>
                <w:lang w:val="en-US"/>
              </w:rPr>
            </w:pPr>
            <w:r w:rsidRPr="00940884">
              <w:rPr>
                <w:sz w:val="20"/>
                <w:szCs w:val="20"/>
                <w:lang w:val="en-US"/>
              </w:rPr>
              <w:t>23 (10)</w:t>
            </w:r>
          </w:p>
        </w:tc>
        <w:tc>
          <w:tcPr>
            <w:tcW w:w="1418" w:type="dxa"/>
          </w:tcPr>
          <w:p w14:paraId="3062FA19" w14:textId="77777777" w:rsidR="00277405" w:rsidRPr="00940884" w:rsidRDefault="00277405" w:rsidP="00277405">
            <w:pPr>
              <w:spacing w:line="360" w:lineRule="auto"/>
              <w:jc w:val="center"/>
              <w:rPr>
                <w:sz w:val="20"/>
                <w:szCs w:val="20"/>
                <w:lang w:val="en-US"/>
              </w:rPr>
            </w:pPr>
            <w:r w:rsidRPr="00940884">
              <w:rPr>
                <w:sz w:val="20"/>
                <w:szCs w:val="20"/>
                <w:lang w:val="en-US"/>
              </w:rPr>
              <w:t>44 (33.6)</w:t>
            </w:r>
          </w:p>
        </w:tc>
        <w:tc>
          <w:tcPr>
            <w:tcW w:w="882" w:type="dxa"/>
          </w:tcPr>
          <w:p w14:paraId="60216839" w14:textId="77777777" w:rsidR="00277405" w:rsidRPr="00940884" w:rsidRDefault="00277405" w:rsidP="00F55B1D">
            <w:pPr>
              <w:spacing w:line="360" w:lineRule="auto"/>
              <w:jc w:val="center"/>
              <w:rPr>
                <w:sz w:val="20"/>
                <w:szCs w:val="20"/>
                <w:lang w:val="en-US"/>
              </w:rPr>
            </w:pPr>
            <w:r w:rsidRPr="00940884">
              <w:rPr>
                <w:b/>
                <w:sz w:val="20"/>
                <w:szCs w:val="20"/>
                <w:lang w:val="en-US"/>
              </w:rPr>
              <w:t>&lt;0.001</w:t>
            </w:r>
            <w:r w:rsidRPr="00940884">
              <w:rPr>
                <w:sz w:val="20"/>
                <w:szCs w:val="20"/>
                <w:lang w:val="en-US"/>
              </w:rPr>
              <w:t>*</w:t>
            </w:r>
          </w:p>
        </w:tc>
      </w:tr>
      <w:tr w:rsidR="00277405" w:rsidRPr="00940884" w14:paraId="47194CE7" w14:textId="77777777" w:rsidTr="00F55B1D">
        <w:tc>
          <w:tcPr>
            <w:tcW w:w="1842" w:type="dxa"/>
            <w:vMerge/>
          </w:tcPr>
          <w:p w14:paraId="5C2ED81B" w14:textId="77777777" w:rsidR="00277405" w:rsidRPr="00940884" w:rsidRDefault="00277405" w:rsidP="00F55B1D">
            <w:pPr>
              <w:spacing w:line="360" w:lineRule="auto"/>
              <w:jc w:val="both"/>
              <w:rPr>
                <w:b/>
                <w:sz w:val="20"/>
                <w:szCs w:val="20"/>
                <w:lang w:val="en-US"/>
              </w:rPr>
            </w:pPr>
          </w:p>
        </w:tc>
        <w:tc>
          <w:tcPr>
            <w:tcW w:w="3653" w:type="dxa"/>
          </w:tcPr>
          <w:p w14:paraId="0C256AFD" w14:textId="77777777" w:rsidR="00277405" w:rsidRPr="00940884" w:rsidRDefault="00277405" w:rsidP="00F55B1D">
            <w:pPr>
              <w:spacing w:line="360" w:lineRule="auto"/>
              <w:jc w:val="both"/>
              <w:rPr>
                <w:sz w:val="20"/>
                <w:szCs w:val="20"/>
                <w:lang w:val="en-US"/>
              </w:rPr>
            </w:pPr>
            <w:r w:rsidRPr="00940884">
              <w:rPr>
                <w:sz w:val="20"/>
                <w:szCs w:val="20"/>
                <w:lang w:val="en-US"/>
              </w:rPr>
              <w:t>CTP (%)</w:t>
            </w:r>
          </w:p>
        </w:tc>
        <w:tc>
          <w:tcPr>
            <w:tcW w:w="1417" w:type="dxa"/>
          </w:tcPr>
          <w:p w14:paraId="128623F6" w14:textId="77777777" w:rsidR="00277405" w:rsidRPr="00940884" w:rsidRDefault="00277405" w:rsidP="00277405">
            <w:pPr>
              <w:spacing w:line="360" w:lineRule="auto"/>
              <w:jc w:val="center"/>
              <w:rPr>
                <w:sz w:val="20"/>
                <w:szCs w:val="20"/>
                <w:lang w:val="en-US"/>
              </w:rPr>
            </w:pPr>
            <w:r w:rsidRPr="00940884">
              <w:rPr>
                <w:sz w:val="20"/>
                <w:szCs w:val="20"/>
                <w:lang w:val="en-US"/>
              </w:rPr>
              <w:t>114 (49.4)</w:t>
            </w:r>
          </w:p>
        </w:tc>
        <w:tc>
          <w:tcPr>
            <w:tcW w:w="1418" w:type="dxa"/>
          </w:tcPr>
          <w:p w14:paraId="3F1E42C0" w14:textId="77777777" w:rsidR="00277405" w:rsidRPr="00940884" w:rsidRDefault="00277405" w:rsidP="00277405">
            <w:pPr>
              <w:spacing w:line="360" w:lineRule="auto"/>
              <w:jc w:val="center"/>
              <w:rPr>
                <w:sz w:val="20"/>
                <w:szCs w:val="20"/>
                <w:lang w:val="en-US"/>
              </w:rPr>
            </w:pPr>
            <w:r w:rsidRPr="00940884">
              <w:rPr>
                <w:sz w:val="20"/>
                <w:szCs w:val="20"/>
                <w:lang w:val="en-US"/>
              </w:rPr>
              <w:t>57 (43.5)</w:t>
            </w:r>
          </w:p>
        </w:tc>
        <w:tc>
          <w:tcPr>
            <w:tcW w:w="882" w:type="dxa"/>
          </w:tcPr>
          <w:p w14:paraId="06F383F0" w14:textId="77777777" w:rsidR="00277405" w:rsidRPr="00940884" w:rsidRDefault="00277405" w:rsidP="00F55B1D">
            <w:pPr>
              <w:spacing w:line="360" w:lineRule="auto"/>
              <w:jc w:val="center"/>
              <w:rPr>
                <w:sz w:val="20"/>
                <w:szCs w:val="20"/>
                <w:lang w:val="en-US"/>
              </w:rPr>
            </w:pPr>
            <w:r w:rsidRPr="00940884">
              <w:rPr>
                <w:sz w:val="20"/>
                <w:szCs w:val="20"/>
                <w:lang w:val="en-US"/>
              </w:rPr>
              <w:t>0.33*</w:t>
            </w:r>
          </w:p>
        </w:tc>
      </w:tr>
      <w:tr w:rsidR="00277405" w:rsidRPr="00940884" w14:paraId="562208E3" w14:textId="77777777" w:rsidTr="00F55B1D">
        <w:tc>
          <w:tcPr>
            <w:tcW w:w="1842" w:type="dxa"/>
            <w:vMerge/>
          </w:tcPr>
          <w:p w14:paraId="30A81508" w14:textId="77777777" w:rsidR="00277405" w:rsidRPr="00940884" w:rsidRDefault="00277405" w:rsidP="00F55B1D">
            <w:pPr>
              <w:spacing w:line="360" w:lineRule="auto"/>
              <w:jc w:val="both"/>
              <w:rPr>
                <w:b/>
                <w:sz w:val="20"/>
                <w:szCs w:val="20"/>
                <w:lang w:val="en-US"/>
              </w:rPr>
            </w:pPr>
          </w:p>
        </w:tc>
        <w:tc>
          <w:tcPr>
            <w:tcW w:w="3653" w:type="dxa"/>
          </w:tcPr>
          <w:p w14:paraId="3B3BA8F3" w14:textId="77777777" w:rsidR="00277405" w:rsidRPr="00940884" w:rsidRDefault="00277405" w:rsidP="00277405">
            <w:pPr>
              <w:spacing w:line="360" w:lineRule="auto"/>
              <w:jc w:val="both"/>
              <w:rPr>
                <w:sz w:val="20"/>
                <w:szCs w:val="20"/>
                <w:lang w:val="en-US"/>
              </w:rPr>
            </w:pPr>
            <w:r w:rsidRPr="00940884">
              <w:rPr>
                <w:sz w:val="20"/>
                <w:szCs w:val="20"/>
                <w:lang w:val="en-US"/>
              </w:rPr>
              <w:t>ASPECTS, median (min-max)</w:t>
            </w:r>
          </w:p>
        </w:tc>
        <w:tc>
          <w:tcPr>
            <w:tcW w:w="1417" w:type="dxa"/>
          </w:tcPr>
          <w:p w14:paraId="7ACD5255" w14:textId="77777777" w:rsidR="00277405" w:rsidRPr="00940884" w:rsidRDefault="00277405" w:rsidP="0046690B">
            <w:pPr>
              <w:spacing w:line="360" w:lineRule="auto"/>
              <w:jc w:val="center"/>
              <w:rPr>
                <w:sz w:val="20"/>
                <w:szCs w:val="20"/>
                <w:lang w:val="en-US"/>
              </w:rPr>
            </w:pPr>
            <w:r w:rsidRPr="00940884">
              <w:rPr>
                <w:sz w:val="20"/>
                <w:szCs w:val="20"/>
                <w:lang w:val="en-US"/>
              </w:rPr>
              <w:t>9 (</w:t>
            </w:r>
            <w:r w:rsidR="0046690B" w:rsidRPr="00940884">
              <w:rPr>
                <w:sz w:val="20"/>
                <w:szCs w:val="20"/>
                <w:lang w:val="en-US"/>
              </w:rPr>
              <w:t>1-10)</w:t>
            </w:r>
            <w:r w:rsidRPr="00940884">
              <w:rPr>
                <w:sz w:val="20"/>
                <w:szCs w:val="20"/>
                <w:lang w:val="en-US"/>
              </w:rPr>
              <w:t xml:space="preserve"> </w:t>
            </w:r>
          </w:p>
        </w:tc>
        <w:tc>
          <w:tcPr>
            <w:tcW w:w="1418" w:type="dxa"/>
          </w:tcPr>
          <w:p w14:paraId="31DC81D6" w14:textId="77777777" w:rsidR="00277405" w:rsidRPr="00940884" w:rsidRDefault="0080514F" w:rsidP="0046690B">
            <w:pPr>
              <w:spacing w:line="360" w:lineRule="auto"/>
              <w:jc w:val="center"/>
              <w:rPr>
                <w:sz w:val="20"/>
                <w:szCs w:val="20"/>
                <w:lang w:val="en-US"/>
              </w:rPr>
            </w:pPr>
            <w:r w:rsidRPr="00940884">
              <w:rPr>
                <w:sz w:val="20"/>
                <w:szCs w:val="20"/>
                <w:lang w:val="en-US"/>
              </w:rPr>
              <w:t>8</w:t>
            </w:r>
            <w:r w:rsidR="00277405" w:rsidRPr="00940884">
              <w:rPr>
                <w:sz w:val="20"/>
                <w:szCs w:val="20"/>
                <w:lang w:val="en-US"/>
              </w:rPr>
              <w:t xml:space="preserve"> (</w:t>
            </w:r>
            <w:r w:rsidR="0046690B" w:rsidRPr="00940884">
              <w:rPr>
                <w:sz w:val="20"/>
                <w:szCs w:val="20"/>
                <w:lang w:val="en-US"/>
              </w:rPr>
              <w:t>3-10</w:t>
            </w:r>
            <w:r w:rsidR="00277405" w:rsidRPr="00940884">
              <w:rPr>
                <w:sz w:val="20"/>
                <w:szCs w:val="20"/>
                <w:lang w:val="en-US"/>
              </w:rPr>
              <w:t>)</w:t>
            </w:r>
          </w:p>
        </w:tc>
        <w:tc>
          <w:tcPr>
            <w:tcW w:w="882" w:type="dxa"/>
          </w:tcPr>
          <w:p w14:paraId="736DCB6D" w14:textId="77777777" w:rsidR="00277405" w:rsidRPr="00940884" w:rsidRDefault="00277405" w:rsidP="0046690B">
            <w:pPr>
              <w:spacing w:line="360" w:lineRule="auto"/>
              <w:jc w:val="center"/>
              <w:rPr>
                <w:sz w:val="20"/>
                <w:szCs w:val="20"/>
                <w:lang w:val="en-US"/>
              </w:rPr>
            </w:pPr>
            <w:r w:rsidRPr="00940884">
              <w:rPr>
                <w:b/>
                <w:sz w:val="20"/>
                <w:szCs w:val="20"/>
                <w:lang w:val="en-US"/>
              </w:rPr>
              <w:t>0.00</w:t>
            </w:r>
            <w:r w:rsidR="0046690B" w:rsidRPr="00940884">
              <w:rPr>
                <w:b/>
                <w:sz w:val="20"/>
                <w:szCs w:val="20"/>
                <w:lang w:val="en-US"/>
              </w:rPr>
              <w:t>2</w:t>
            </w:r>
            <w:r w:rsidRPr="00940884">
              <w:rPr>
                <w:sz w:val="20"/>
                <w:szCs w:val="20"/>
                <w:vertAlign w:val="superscript"/>
                <w:lang w:val="en-US"/>
              </w:rPr>
              <w:t>#</w:t>
            </w:r>
          </w:p>
        </w:tc>
      </w:tr>
      <w:tr w:rsidR="00277405" w:rsidRPr="00940884" w14:paraId="0543E81E" w14:textId="77777777" w:rsidTr="00F55B1D">
        <w:tc>
          <w:tcPr>
            <w:tcW w:w="1842" w:type="dxa"/>
            <w:vMerge w:val="restart"/>
          </w:tcPr>
          <w:p w14:paraId="72BBC2B4" w14:textId="77777777" w:rsidR="00277405" w:rsidRPr="00940884" w:rsidRDefault="00277405" w:rsidP="00F55B1D">
            <w:pPr>
              <w:spacing w:line="360" w:lineRule="auto"/>
              <w:jc w:val="both"/>
              <w:rPr>
                <w:b/>
                <w:sz w:val="20"/>
                <w:szCs w:val="20"/>
                <w:lang w:val="en-US"/>
              </w:rPr>
            </w:pPr>
            <w:r w:rsidRPr="00940884">
              <w:rPr>
                <w:b/>
                <w:sz w:val="20"/>
                <w:szCs w:val="20"/>
                <w:lang w:val="en-US"/>
              </w:rPr>
              <w:t>Procedural data</w:t>
            </w:r>
          </w:p>
        </w:tc>
        <w:tc>
          <w:tcPr>
            <w:tcW w:w="3653" w:type="dxa"/>
          </w:tcPr>
          <w:p w14:paraId="28297638" w14:textId="77777777" w:rsidR="00277405" w:rsidRPr="00940884" w:rsidRDefault="00277405" w:rsidP="00F55B1D">
            <w:pPr>
              <w:spacing w:line="360" w:lineRule="auto"/>
              <w:jc w:val="both"/>
              <w:rPr>
                <w:sz w:val="20"/>
                <w:szCs w:val="20"/>
                <w:lang w:val="en-US"/>
              </w:rPr>
            </w:pPr>
            <w:proofErr w:type="spellStart"/>
            <w:r w:rsidRPr="00940884">
              <w:rPr>
                <w:sz w:val="20"/>
                <w:szCs w:val="20"/>
                <w:lang w:val="en-US"/>
              </w:rPr>
              <w:t>i.v.</w:t>
            </w:r>
            <w:proofErr w:type="spellEnd"/>
            <w:r w:rsidRPr="00940884">
              <w:rPr>
                <w:sz w:val="20"/>
                <w:szCs w:val="20"/>
                <w:lang w:val="en-US"/>
              </w:rPr>
              <w:t xml:space="preserve"> thrombolysis (%) </w:t>
            </w:r>
          </w:p>
        </w:tc>
        <w:tc>
          <w:tcPr>
            <w:tcW w:w="1417" w:type="dxa"/>
          </w:tcPr>
          <w:p w14:paraId="59A8FB83" w14:textId="77777777" w:rsidR="00277405" w:rsidRPr="00940884" w:rsidRDefault="000E497B" w:rsidP="000E497B">
            <w:pPr>
              <w:spacing w:line="360" w:lineRule="auto"/>
              <w:jc w:val="center"/>
              <w:rPr>
                <w:sz w:val="20"/>
                <w:szCs w:val="20"/>
                <w:lang w:val="en-US"/>
              </w:rPr>
            </w:pPr>
            <w:r w:rsidRPr="00940884">
              <w:rPr>
                <w:sz w:val="20"/>
                <w:szCs w:val="20"/>
                <w:lang w:val="en-US"/>
              </w:rPr>
              <w:t>143</w:t>
            </w:r>
            <w:r w:rsidR="00277405" w:rsidRPr="00940884">
              <w:rPr>
                <w:sz w:val="20"/>
                <w:szCs w:val="20"/>
                <w:lang w:val="en-US"/>
              </w:rPr>
              <w:t xml:space="preserve"> (</w:t>
            </w:r>
            <w:r w:rsidRPr="00940884">
              <w:rPr>
                <w:sz w:val="20"/>
                <w:szCs w:val="20"/>
                <w:lang w:val="en-US"/>
              </w:rPr>
              <w:t>61.9</w:t>
            </w:r>
            <w:r w:rsidR="00277405" w:rsidRPr="00940884">
              <w:rPr>
                <w:sz w:val="20"/>
                <w:szCs w:val="20"/>
                <w:lang w:val="en-US"/>
              </w:rPr>
              <w:t>)</w:t>
            </w:r>
          </w:p>
        </w:tc>
        <w:tc>
          <w:tcPr>
            <w:tcW w:w="1418" w:type="dxa"/>
          </w:tcPr>
          <w:p w14:paraId="42C5C122" w14:textId="77777777" w:rsidR="00277405" w:rsidRPr="00940884" w:rsidRDefault="000E497B" w:rsidP="000E497B">
            <w:pPr>
              <w:spacing w:line="360" w:lineRule="auto"/>
              <w:jc w:val="center"/>
              <w:rPr>
                <w:sz w:val="20"/>
                <w:szCs w:val="20"/>
                <w:lang w:val="en-US"/>
              </w:rPr>
            </w:pPr>
            <w:r w:rsidRPr="00940884">
              <w:rPr>
                <w:sz w:val="20"/>
                <w:szCs w:val="20"/>
                <w:lang w:val="en-US"/>
              </w:rPr>
              <w:t>28</w:t>
            </w:r>
            <w:r w:rsidR="00277405" w:rsidRPr="00940884">
              <w:rPr>
                <w:sz w:val="20"/>
                <w:szCs w:val="20"/>
                <w:lang w:val="en-US"/>
              </w:rPr>
              <w:t xml:space="preserve"> (</w:t>
            </w:r>
            <w:r w:rsidRPr="00940884">
              <w:rPr>
                <w:sz w:val="20"/>
                <w:szCs w:val="20"/>
                <w:lang w:val="en-US"/>
              </w:rPr>
              <w:t>21.4</w:t>
            </w:r>
            <w:r w:rsidR="00277405" w:rsidRPr="00940884">
              <w:rPr>
                <w:sz w:val="20"/>
                <w:szCs w:val="20"/>
                <w:lang w:val="en-US"/>
              </w:rPr>
              <w:t>)</w:t>
            </w:r>
          </w:p>
        </w:tc>
        <w:tc>
          <w:tcPr>
            <w:tcW w:w="882" w:type="dxa"/>
          </w:tcPr>
          <w:p w14:paraId="378F0873" w14:textId="77777777" w:rsidR="00277405" w:rsidRPr="00940884" w:rsidRDefault="00277405" w:rsidP="00F55B1D">
            <w:pPr>
              <w:spacing w:line="360" w:lineRule="auto"/>
              <w:jc w:val="center"/>
              <w:rPr>
                <w:sz w:val="20"/>
                <w:szCs w:val="20"/>
                <w:lang w:val="en-US"/>
              </w:rPr>
            </w:pPr>
            <w:r w:rsidRPr="00940884">
              <w:rPr>
                <w:b/>
                <w:sz w:val="20"/>
                <w:szCs w:val="20"/>
                <w:lang w:val="en-US"/>
              </w:rPr>
              <w:t>&lt;0.001</w:t>
            </w:r>
            <w:r w:rsidRPr="00940884">
              <w:rPr>
                <w:sz w:val="20"/>
                <w:szCs w:val="20"/>
                <w:lang w:val="en-US"/>
              </w:rPr>
              <w:t>*</w:t>
            </w:r>
          </w:p>
        </w:tc>
      </w:tr>
      <w:tr w:rsidR="00277405" w:rsidRPr="00940884" w14:paraId="1C59C059" w14:textId="77777777" w:rsidTr="00F55B1D">
        <w:tc>
          <w:tcPr>
            <w:tcW w:w="1842" w:type="dxa"/>
            <w:vMerge/>
          </w:tcPr>
          <w:p w14:paraId="192C6D31" w14:textId="77777777" w:rsidR="00277405" w:rsidRPr="00940884" w:rsidRDefault="00277405" w:rsidP="00F55B1D">
            <w:pPr>
              <w:spacing w:line="360" w:lineRule="auto"/>
              <w:jc w:val="both"/>
              <w:rPr>
                <w:b/>
                <w:sz w:val="20"/>
                <w:szCs w:val="20"/>
                <w:lang w:val="en-US"/>
              </w:rPr>
            </w:pPr>
          </w:p>
        </w:tc>
        <w:tc>
          <w:tcPr>
            <w:tcW w:w="3653" w:type="dxa"/>
          </w:tcPr>
          <w:p w14:paraId="58659D4F" w14:textId="77777777" w:rsidR="00277405" w:rsidRPr="00940884" w:rsidRDefault="00277405" w:rsidP="00F55B1D">
            <w:pPr>
              <w:spacing w:line="360" w:lineRule="auto"/>
              <w:jc w:val="both"/>
              <w:rPr>
                <w:sz w:val="20"/>
                <w:szCs w:val="20"/>
                <w:lang w:val="en-US"/>
              </w:rPr>
            </w:pPr>
            <w:r w:rsidRPr="00940884">
              <w:rPr>
                <w:sz w:val="20"/>
                <w:szCs w:val="20"/>
                <w:lang w:val="en-US"/>
              </w:rPr>
              <w:t>LSW to treatment time ( min)</w:t>
            </w:r>
          </w:p>
        </w:tc>
        <w:tc>
          <w:tcPr>
            <w:tcW w:w="1417" w:type="dxa"/>
          </w:tcPr>
          <w:p w14:paraId="4D50B57E" w14:textId="77777777" w:rsidR="00277405" w:rsidRPr="00940884" w:rsidRDefault="0080514F" w:rsidP="0046690B">
            <w:pPr>
              <w:spacing w:line="360" w:lineRule="auto"/>
              <w:jc w:val="center"/>
              <w:rPr>
                <w:sz w:val="20"/>
                <w:szCs w:val="20"/>
                <w:lang w:val="en-US"/>
              </w:rPr>
            </w:pPr>
            <w:r w:rsidRPr="00940884">
              <w:rPr>
                <w:sz w:val="20"/>
                <w:szCs w:val="20"/>
                <w:lang w:val="en-US"/>
              </w:rPr>
              <w:t>162</w:t>
            </w:r>
            <w:r w:rsidR="00277405" w:rsidRPr="00940884">
              <w:rPr>
                <w:sz w:val="20"/>
                <w:szCs w:val="20"/>
                <w:lang w:val="en-US"/>
              </w:rPr>
              <w:t>+/-</w:t>
            </w:r>
            <w:r w:rsidR="0046690B" w:rsidRPr="00940884">
              <w:rPr>
                <w:sz w:val="20"/>
                <w:szCs w:val="20"/>
                <w:lang w:val="en-US"/>
              </w:rPr>
              <w:t>53</w:t>
            </w:r>
          </w:p>
        </w:tc>
        <w:tc>
          <w:tcPr>
            <w:tcW w:w="1418" w:type="dxa"/>
          </w:tcPr>
          <w:p w14:paraId="2C4F7BCA" w14:textId="77777777" w:rsidR="00277405" w:rsidRPr="00940884" w:rsidRDefault="0080514F" w:rsidP="0080514F">
            <w:pPr>
              <w:spacing w:line="360" w:lineRule="auto"/>
              <w:jc w:val="center"/>
              <w:rPr>
                <w:sz w:val="20"/>
                <w:szCs w:val="20"/>
                <w:lang w:val="en-US"/>
              </w:rPr>
            </w:pPr>
            <w:r w:rsidRPr="00940884">
              <w:rPr>
                <w:sz w:val="20"/>
                <w:szCs w:val="20"/>
                <w:lang w:val="en-US"/>
              </w:rPr>
              <w:t>559</w:t>
            </w:r>
            <w:r w:rsidR="00277405" w:rsidRPr="00940884">
              <w:rPr>
                <w:sz w:val="20"/>
                <w:szCs w:val="20"/>
                <w:lang w:val="en-US"/>
              </w:rPr>
              <w:t>+/-</w:t>
            </w:r>
            <w:r w:rsidRPr="00940884">
              <w:rPr>
                <w:sz w:val="20"/>
                <w:szCs w:val="20"/>
                <w:lang w:val="en-US"/>
              </w:rPr>
              <w:t>169</w:t>
            </w:r>
          </w:p>
        </w:tc>
        <w:tc>
          <w:tcPr>
            <w:tcW w:w="882" w:type="dxa"/>
          </w:tcPr>
          <w:p w14:paraId="004CC622" w14:textId="77777777" w:rsidR="00277405" w:rsidRPr="00940884" w:rsidRDefault="00277405" w:rsidP="00F55B1D">
            <w:pPr>
              <w:spacing w:line="360" w:lineRule="auto"/>
              <w:jc w:val="center"/>
              <w:rPr>
                <w:sz w:val="20"/>
                <w:szCs w:val="20"/>
                <w:lang w:val="en-US"/>
              </w:rPr>
            </w:pPr>
            <w:r w:rsidRPr="00940884">
              <w:rPr>
                <w:b/>
                <w:sz w:val="20"/>
                <w:szCs w:val="20"/>
                <w:lang w:val="en-US"/>
              </w:rPr>
              <w:t>&lt;0.001</w:t>
            </w:r>
            <w:r w:rsidRPr="00940884">
              <w:rPr>
                <w:sz w:val="20"/>
                <w:szCs w:val="20"/>
                <w:vertAlign w:val="superscript"/>
                <w:lang w:val="en-US"/>
              </w:rPr>
              <w:t>$</w:t>
            </w:r>
          </w:p>
        </w:tc>
      </w:tr>
      <w:tr w:rsidR="00277405" w:rsidRPr="00940884" w14:paraId="1F65423C" w14:textId="77777777" w:rsidTr="00F55B1D">
        <w:tc>
          <w:tcPr>
            <w:tcW w:w="1842" w:type="dxa"/>
            <w:vMerge/>
          </w:tcPr>
          <w:p w14:paraId="3A34E070" w14:textId="77777777" w:rsidR="00277405" w:rsidRPr="00940884" w:rsidRDefault="00277405" w:rsidP="00F55B1D">
            <w:pPr>
              <w:spacing w:line="360" w:lineRule="auto"/>
              <w:jc w:val="both"/>
              <w:rPr>
                <w:b/>
                <w:sz w:val="20"/>
                <w:szCs w:val="20"/>
                <w:lang w:val="en-US"/>
              </w:rPr>
            </w:pPr>
          </w:p>
        </w:tc>
        <w:tc>
          <w:tcPr>
            <w:tcW w:w="3653" w:type="dxa"/>
          </w:tcPr>
          <w:p w14:paraId="19930334" w14:textId="77777777" w:rsidR="00277405" w:rsidRPr="00940884" w:rsidRDefault="00277405" w:rsidP="00F55B1D">
            <w:pPr>
              <w:spacing w:line="360" w:lineRule="auto"/>
              <w:jc w:val="both"/>
              <w:rPr>
                <w:sz w:val="20"/>
                <w:szCs w:val="20"/>
                <w:lang w:val="en-US"/>
              </w:rPr>
            </w:pPr>
            <w:r w:rsidRPr="00940884">
              <w:rPr>
                <w:sz w:val="20"/>
                <w:szCs w:val="20"/>
                <w:lang w:val="en-US"/>
              </w:rPr>
              <w:t>Door to vessel time (DTV, min)</w:t>
            </w:r>
          </w:p>
        </w:tc>
        <w:tc>
          <w:tcPr>
            <w:tcW w:w="1417" w:type="dxa"/>
          </w:tcPr>
          <w:p w14:paraId="37EEA58D" w14:textId="77777777" w:rsidR="00277405" w:rsidRPr="00940884" w:rsidRDefault="0080514F" w:rsidP="0046690B">
            <w:pPr>
              <w:spacing w:line="360" w:lineRule="auto"/>
              <w:jc w:val="center"/>
              <w:rPr>
                <w:sz w:val="20"/>
                <w:szCs w:val="20"/>
                <w:lang w:val="en-US"/>
              </w:rPr>
            </w:pPr>
            <w:r w:rsidRPr="00940884">
              <w:rPr>
                <w:sz w:val="20"/>
                <w:szCs w:val="20"/>
                <w:lang w:val="en-US"/>
              </w:rPr>
              <w:t>91</w:t>
            </w:r>
            <w:r w:rsidR="00277405" w:rsidRPr="00940884">
              <w:rPr>
                <w:sz w:val="20"/>
                <w:szCs w:val="20"/>
                <w:lang w:val="en-US"/>
              </w:rPr>
              <w:t>+/-</w:t>
            </w:r>
            <w:r w:rsidR="0046690B" w:rsidRPr="00940884">
              <w:rPr>
                <w:sz w:val="20"/>
                <w:szCs w:val="20"/>
                <w:lang w:val="en-US"/>
              </w:rPr>
              <w:t>4</w:t>
            </w:r>
            <w:r w:rsidRPr="00940884">
              <w:rPr>
                <w:sz w:val="20"/>
                <w:szCs w:val="20"/>
                <w:lang w:val="en-US"/>
              </w:rPr>
              <w:t>5</w:t>
            </w:r>
          </w:p>
        </w:tc>
        <w:tc>
          <w:tcPr>
            <w:tcW w:w="1418" w:type="dxa"/>
          </w:tcPr>
          <w:p w14:paraId="5951ECE2" w14:textId="77777777" w:rsidR="00277405" w:rsidRPr="00940884" w:rsidRDefault="0080514F" w:rsidP="0080514F">
            <w:pPr>
              <w:spacing w:line="360" w:lineRule="auto"/>
              <w:jc w:val="center"/>
              <w:rPr>
                <w:sz w:val="20"/>
                <w:szCs w:val="20"/>
                <w:lang w:val="en-US"/>
              </w:rPr>
            </w:pPr>
            <w:r w:rsidRPr="00940884">
              <w:rPr>
                <w:sz w:val="20"/>
                <w:szCs w:val="20"/>
                <w:lang w:val="en-US"/>
              </w:rPr>
              <w:t>116</w:t>
            </w:r>
            <w:r w:rsidR="00277405" w:rsidRPr="00940884">
              <w:rPr>
                <w:sz w:val="20"/>
                <w:szCs w:val="20"/>
                <w:lang w:val="en-US"/>
              </w:rPr>
              <w:t>+/-</w:t>
            </w:r>
            <w:r w:rsidRPr="00940884">
              <w:rPr>
                <w:sz w:val="20"/>
                <w:szCs w:val="20"/>
                <w:lang w:val="en-US"/>
              </w:rPr>
              <w:t>114</w:t>
            </w:r>
          </w:p>
        </w:tc>
        <w:tc>
          <w:tcPr>
            <w:tcW w:w="882" w:type="dxa"/>
          </w:tcPr>
          <w:p w14:paraId="36F99210" w14:textId="77777777" w:rsidR="00277405" w:rsidRPr="00940884" w:rsidRDefault="0080514F" w:rsidP="00F55B1D">
            <w:pPr>
              <w:spacing w:line="360" w:lineRule="auto"/>
              <w:jc w:val="center"/>
              <w:rPr>
                <w:sz w:val="20"/>
                <w:szCs w:val="20"/>
                <w:lang w:val="en-US"/>
              </w:rPr>
            </w:pPr>
            <w:r w:rsidRPr="00940884">
              <w:rPr>
                <w:b/>
                <w:sz w:val="20"/>
                <w:szCs w:val="20"/>
                <w:lang w:val="en-US"/>
              </w:rPr>
              <w:t>&lt;0.001</w:t>
            </w:r>
            <w:r w:rsidRPr="00940884">
              <w:rPr>
                <w:sz w:val="20"/>
                <w:szCs w:val="20"/>
                <w:vertAlign w:val="superscript"/>
                <w:lang w:val="en-US"/>
              </w:rPr>
              <w:t>$</w:t>
            </w:r>
          </w:p>
        </w:tc>
      </w:tr>
      <w:tr w:rsidR="00277405" w:rsidRPr="00940884" w14:paraId="474B9A43" w14:textId="77777777" w:rsidTr="00F55B1D">
        <w:tc>
          <w:tcPr>
            <w:tcW w:w="1842" w:type="dxa"/>
            <w:vMerge/>
          </w:tcPr>
          <w:p w14:paraId="0AAACA26" w14:textId="77777777" w:rsidR="00277405" w:rsidRPr="00940884" w:rsidRDefault="00277405" w:rsidP="00F55B1D">
            <w:pPr>
              <w:spacing w:line="360" w:lineRule="auto"/>
              <w:jc w:val="both"/>
              <w:rPr>
                <w:b/>
                <w:sz w:val="20"/>
                <w:szCs w:val="20"/>
                <w:lang w:val="en-US"/>
              </w:rPr>
            </w:pPr>
          </w:p>
        </w:tc>
        <w:tc>
          <w:tcPr>
            <w:tcW w:w="3653" w:type="dxa"/>
          </w:tcPr>
          <w:p w14:paraId="5519B8D1" w14:textId="77777777" w:rsidR="00277405" w:rsidRPr="00940884" w:rsidRDefault="00277405" w:rsidP="00F55B1D">
            <w:pPr>
              <w:spacing w:line="360" w:lineRule="auto"/>
              <w:jc w:val="both"/>
              <w:rPr>
                <w:sz w:val="20"/>
                <w:szCs w:val="20"/>
                <w:lang w:val="en-US"/>
              </w:rPr>
            </w:pPr>
            <w:r w:rsidRPr="00940884">
              <w:rPr>
                <w:sz w:val="20"/>
                <w:szCs w:val="20"/>
                <w:lang w:val="en-US"/>
              </w:rPr>
              <w:t>Recanalization (%)</w:t>
            </w:r>
          </w:p>
        </w:tc>
        <w:tc>
          <w:tcPr>
            <w:tcW w:w="1417" w:type="dxa"/>
          </w:tcPr>
          <w:p w14:paraId="56D41FC9" w14:textId="77777777" w:rsidR="00277405" w:rsidRPr="00940884" w:rsidRDefault="000E497B" w:rsidP="000E497B">
            <w:pPr>
              <w:spacing w:line="360" w:lineRule="auto"/>
              <w:jc w:val="center"/>
              <w:rPr>
                <w:sz w:val="20"/>
                <w:szCs w:val="20"/>
                <w:lang w:val="en-US"/>
              </w:rPr>
            </w:pPr>
            <w:r w:rsidRPr="00940884">
              <w:rPr>
                <w:sz w:val="20"/>
                <w:szCs w:val="20"/>
                <w:lang w:val="en-US"/>
              </w:rPr>
              <w:t>189</w:t>
            </w:r>
            <w:r w:rsidR="00277405" w:rsidRPr="00940884">
              <w:rPr>
                <w:sz w:val="20"/>
                <w:szCs w:val="20"/>
                <w:lang w:val="en-US"/>
              </w:rPr>
              <w:t xml:space="preserve"> (</w:t>
            </w:r>
            <w:r w:rsidRPr="00940884">
              <w:rPr>
                <w:sz w:val="20"/>
                <w:szCs w:val="20"/>
                <w:lang w:val="en-US"/>
              </w:rPr>
              <w:t>81.8</w:t>
            </w:r>
            <w:r w:rsidR="00277405" w:rsidRPr="00940884">
              <w:rPr>
                <w:sz w:val="20"/>
                <w:szCs w:val="20"/>
                <w:lang w:val="en-US"/>
              </w:rPr>
              <w:t>)</w:t>
            </w:r>
          </w:p>
        </w:tc>
        <w:tc>
          <w:tcPr>
            <w:tcW w:w="1418" w:type="dxa"/>
          </w:tcPr>
          <w:p w14:paraId="22D45782" w14:textId="77777777" w:rsidR="00277405" w:rsidRPr="00940884" w:rsidRDefault="000E497B" w:rsidP="000E497B">
            <w:pPr>
              <w:spacing w:line="360" w:lineRule="auto"/>
              <w:jc w:val="center"/>
              <w:rPr>
                <w:sz w:val="20"/>
                <w:szCs w:val="20"/>
                <w:lang w:val="en-US"/>
              </w:rPr>
            </w:pPr>
            <w:r w:rsidRPr="00940884">
              <w:rPr>
                <w:sz w:val="20"/>
                <w:szCs w:val="20"/>
                <w:lang w:val="en-US"/>
              </w:rPr>
              <w:t>91</w:t>
            </w:r>
            <w:r w:rsidR="00277405" w:rsidRPr="00940884">
              <w:rPr>
                <w:sz w:val="20"/>
                <w:szCs w:val="20"/>
                <w:lang w:val="en-US"/>
              </w:rPr>
              <w:t xml:space="preserve"> (</w:t>
            </w:r>
            <w:r w:rsidRPr="00940884">
              <w:rPr>
                <w:sz w:val="20"/>
                <w:szCs w:val="20"/>
                <w:lang w:val="en-US"/>
              </w:rPr>
              <w:t>69.5</w:t>
            </w:r>
            <w:r w:rsidR="00277405" w:rsidRPr="00940884">
              <w:rPr>
                <w:sz w:val="20"/>
                <w:szCs w:val="20"/>
                <w:lang w:val="en-US"/>
              </w:rPr>
              <w:t>)</w:t>
            </w:r>
          </w:p>
        </w:tc>
        <w:tc>
          <w:tcPr>
            <w:tcW w:w="882" w:type="dxa"/>
          </w:tcPr>
          <w:p w14:paraId="472DE8DF" w14:textId="77777777" w:rsidR="00277405" w:rsidRPr="00940884" w:rsidRDefault="000E497B" w:rsidP="000E497B">
            <w:pPr>
              <w:spacing w:line="360" w:lineRule="auto"/>
              <w:jc w:val="center"/>
              <w:rPr>
                <w:b/>
                <w:sz w:val="20"/>
                <w:szCs w:val="20"/>
                <w:lang w:val="en-US"/>
              </w:rPr>
            </w:pPr>
            <w:r w:rsidRPr="00940884">
              <w:rPr>
                <w:b/>
                <w:sz w:val="20"/>
                <w:szCs w:val="20"/>
                <w:lang w:val="en-US"/>
              </w:rPr>
              <w:t>&lt;</w:t>
            </w:r>
            <w:r w:rsidR="00277405" w:rsidRPr="00940884">
              <w:rPr>
                <w:b/>
                <w:sz w:val="20"/>
                <w:szCs w:val="20"/>
                <w:lang w:val="en-US"/>
              </w:rPr>
              <w:t>0.</w:t>
            </w:r>
            <w:r w:rsidRPr="00940884">
              <w:rPr>
                <w:b/>
                <w:sz w:val="20"/>
                <w:szCs w:val="20"/>
                <w:lang w:val="en-US"/>
              </w:rPr>
              <w:t>01</w:t>
            </w:r>
            <w:r w:rsidR="00277405" w:rsidRPr="00940884">
              <w:rPr>
                <w:b/>
                <w:sz w:val="20"/>
                <w:szCs w:val="20"/>
                <w:lang w:val="en-US"/>
              </w:rPr>
              <w:t>*</w:t>
            </w:r>
          </w:p>
        </w:tc>
      </w:tr>
      <w:tr w:rsidR="00277405" w:rsidRPr="00940884" w14:paraId="7969452E" w14:textId="77777777" w:rsidTr="00F55B1D">
        <w:tc>
          <w:tcPr>
            <w:tcW w:w="1842" w:type="dxa"/>
            <w:vMerge w:val="restart"/>
          </w:tcPr>
          <w:p w14:paraId="3A69E1B8" w14:textId="77777777" w:rsidR="00277405" w:rsidRPr="00940884" w:rsidRDefault="00277405" w:rsidP="00F55B1D">
            <w:pPr>
              <w:spacing w:line="360" w:lineRule="auto"/>
              <w:jc w:val="both"/>
              <w:rPr>
                <w:b/>
                <w:sz w:val="20"/>
                <w:szCs w:val="20"/>
                <w:lang w:val="en-US"/>
              </w:rPr>
            </w:pPr>
            <w:r w:rsidRPr="00940884">
              <w:rPr>
                <w:b/>
                <w:sz w:val="20"/>
                <w:szCs w:val="20"/>
                <w:lang w:val="en-US"/>
              </w:rPr>
              <w:t>Outcome after      3 months</w:t>
            </w:r>
          </w:p>
        </w:tc>
        <w:tc>
          <w:tcPr>
            <w:tcW w:w="3653" w:type="dxa"/>
          </w:tcPr>
          <w:p w14:paraId="0B052078" w14:textId="77777777" w:rsidR="00277405" w:rsidRPr="00940884" w:rsidRDefault="00277405" w:rsidP="00F55B1D">
            <w:pPr>
              <w:spacing w:line="360" w:lineRule="auto"/>
              <w:jc w:val="both"/>
              <w:rPr>
                <w:sz w:val="20"/>
                <w:szCs w:val="20"/>
                <w:lang w:val="en-US"/>
              </w:rPr>
            </w:pPr>
            <w:proofErr w:type="spellStart"/>
            <w:r w:rsidRPr="00940884">
              <w:rPr>
                <w:sz w:val="20"/>
                <w:szCs w:val="20"/>
                <w:lang w:val="en-US"/>
              </w:rPr>
              <w:t>mRS</w:t>
            </w:r>
            <w:proofErr w:type="spellEnd"/>
            <w:r w:rsidRPr="00940884">
              <w:rPr>
                <w:sz w:val="20"/>
                <w:szCs w:val="20"/>
                <w:lang w:val="en-US"/>
              </w:rPr>
              <w:t xml:space="preserve"> 0-2 (%)</w:t>
            </w:r>
          </w:p>
        </w:tc>
        <w:tc>
          <w:tcPr>
            <w:tcW w:w="1417" w:type="dxa"/>
          </w:tcPr>
          <w:p w14:paraId="5EBB6027" w14:textId="77777777" w:rsidR="00277405" w:rsidRPr="00940884" w:rsidRDefault="000E497B" w:rsidP="000E497B">
            <w:pPr>
              <w:spacing w:line="360" w:lineRule="auto"/>
              <w:jc w:val="center"/>
              <w:rPr>
                <w:sz w:val="20"/>
                <w:szCs w:val="20"/>
                <w:lang w:val="en-US"/>
              </w:rPr>
            </w:pPr>
            <w:r w:rsidRPr="00940884">
              <w:rPr>
                <w:sz w:val="20"/>
                <w:szCs w:val="20"/>
                <w:lang w:val="en-US"/>
              </w:rPr>
              <w:t>46</w:t>
            </w:r>
            <w:r w:rsidR="00277405" w:rsidRPr="00940884">
              <w:rPr>
                <w:sz w:val="20"/>
                <w:szCs w:val="20"/>
                <w:lang w:val="en-US"/>
              </w:rPr>
              <w:t xml:space="preserve"> (</w:t>
            </w:r>
            <w:r w:rsidRPr="00940884">
              <w:rPr>
                <w:sz w:val="20"/>
                <w:szCs w:val="20"/>
                <w:lang w:val="en-US"/>
              </w:rPr>
              <w:t>19.9</w:t>
            </w:r>
            <w:r w:rsidR="00277405" w:rsidRPr="00940884">
              <w:rPr>
                <w:sz w:val="20"/>
                <w:szCs w:val="20"/>
                <w:lang w:val="en-US"/>
              </w:rPr>
              <w:t>)</w:t>
            </w:r>
          </w:p>
        </w:tc>
        <w:tc>
          <w:tcPr>
            <w:tcW w:w="1418" w:type="dxa"/>
          </w:tcPr>
          <w:p w14:paraId="556499B9" w14:textId="77777777" w:rsidR="00277405" w:rsidRPr="00940884" w:rsidRDefault="000E497B" w:rsidP="000E497B">
            <w:pPr>
              <w:spacing w:line="360" w:lineRule="auto"/>
              <w:jc w:val="center"/>
              <w:rPr>
                <w:sz w:val="20"/>
                <w:szCs w:val="20"/>
                <w:lang w:val="en-US"/>
              </w:rPr>
            </w:pPr>
            <w:r w:rsidRPr="00940884">
              <w:rPr>
                <w:sz w:val="20"/>
                <w:szCs w:val="20"/>
                <w:lang w:val="en-US"/>
              </w:rPr>
              <w:t>31</w:t>
            </w:r>
            <w:r w:rsidR="00277405" w:rsidRPr="00940884">
              <w:rPr>
                <w:sz w:val="20"/>
                <w:szCs w:val="20"/>
                <w:lang w:val="en-US"/>
              </w:rPr>
              <w:t xml:space="preserve"> (</w:t>
            </w:r>
            <w:r w:rsidRPr="00940884">
              <w:rPr>
                <w:sz w:val="20"/>
                <w:szCs w:val="20"/>
                <w:lang w:val="en-US"/>
              </w:rPr>
              <w:t>23.7</w:t>
            </w:r>
            <w:r w:rsidR="00277405" w:rsidRPr="00940884">
              <w:rPr>
                <w:sz w:val="20"/>
                <w:szCs w:val="20"/>
                <w:lang w:val="en-US"/>
              </w:rPr>
              <w:t>)</w:t>
            </w:r>
          </w:p>
        </w:tc>
        <w:tc>
          <w:tcPr>
            <w:tcW w:w="882" w:type="dxa"/>
          </w:tcPr>
          <w:p w14:paraId="0F6A3B15" w14:textId="77777777" w:rsidR="00277405" w:rsidRPr="00940884" w:rsidRDefault="000E497B" w:rsidP="00F55B1D">
            <w:pPr>
              <w:spacing w:line="360" w:lineRule="auto"/>
              <w:jc w:val="center"/>
              <w:rPr>
                <w:sz w:val="20"/>
                <w:szCs w:val="20"/>
                <w:lang w:val="en-US"/>
              </w:rPr>
            </w:pPr>
            <w:r w:rsidRPr="00940884">
              <w:rPr>
                <w:sz w:val="20"/>
                <w:szCs w:val="20"/>
                <w:lang w:val="en-US"/>
              </w:rPr>
              <w:t>0.42</w:t>
            </w:r>
            <w:r w:rsidR="00277405" w:rsidRPr="00940884">
              <w:rPr>
                <w:sz w:val="20"/>
                <w:szCs w:val="20"/>
                <w:lang w:val="en-US"/>
              </w:rPr>
              <w:t>*</w:t>
            </w:r>
          </w:p>
        </w:tc>
      </w:tr>
      <w:tr w:rsidR="00277405" w:rsidRPr="00940884" w14:paraId="522F943A" w14:textId="77777777" w:rsidTr="00F55B1D">
        <w:tc>
          <w:tcPr>
            <w:tcW w:w="1842" w:type="dxa"/>
            <w:vMerge/>
          </w:tcPr>
          <w:p w14:paraId="568FEA86" w14:textId="77777777" w:rsidR="00277405" w:rsidRPr="00940884" w:rsidRDefault="00277405" w:rsidP="00F55B1D">
            <w:pPr>
              <w:spacing w:line="360" w:lineRule="auto"/>
              <w:jc w:val="both"/>
              <w:rPr>
                <w:sz w:val="20"/>
                <w:szCs w:val="20"/>
                <w:lang w:val="en-US"/>
              </w:rPr>
            </w:pPr>
          </w:p>
        </w:tc>
        <w:tc>
          <w:tcPr>
            <w:tcW w:w="3653" w:type="dxa"/>
          </w:tcPr>
          <w:p w14:paraId="6A24F769" w14:textId="77777777" w:rsidR="00277405" w:rsidRPr="00940884" w:rsidRDefault="00277405" w:rsidP="00F55B1D">
            <w:pPr>
              <w:spacing w:line="360" w:lineRule="auto"/>
              <w:jc w:val="both"/>
              <w:rPr>
                <w:sz w:val="20"/>
                <w:szCs w:val="20"/>
                <w:lang w:val="en-US"/>
              </w:rPr>
            </w:pPr>
            <w:proofErr w:type="spellStart"/>
            <w:r w:rsidRPr="00940884">
              <w:rPr>
                <w:sz w:val="20"/>
                <w:szCs w:val="20"/>
                <w:lang w:val="en-US"/>
              </w:rPr>
              <w:t>mRS</w:t>
            </w:r>
            <w:proofErr w:type="spellEnd"/>
            <w:r w:rsidRPr="00940884">
              <w:rPr>
                <w:sz w:val="20"/>
                <w:szCs w:val="20"/>
                <w:lang w:val="en-US"/>
              </w:rPr>
              <w:t xml:space="preserve"> 0-3 (%)</w:t>
            </w:r>
          </w:p>
        </w:tc>
        <w:tc>
          <w:tcPr>
            <w:tcW w:w="1417" w:type="dxa"/>
          </w:tcPr>
          <w:p w14:paraId="27346418" w14:textId="77777777" w:rsidR="00277405" w:rsidRPr="00940884" w:rsidRDefault="000E497B" w:rsidP="00F55B1D">
            <w:pPr>
              <w:spacing w:line="360" w:lineRule="auto"/>
              <w:jc w:val="center"/>
              <w:rPr>
                <w:sz w:val="20"/>
                <w:szCs w:val="20"/>
                <w:lang w:val="en-US"/>
              </w:rPr>
            </w:pPr>
            <w:r w:rsidRPr="00940884">
              <w:rPr>
                <w:sz w:val="20"/>
                <w:szCs w:val="20"/>
                <w:lang w:val="en-US"/>
              </w:rPr>
              <w:t>79 (34.2)</w:t>
            </w:r>
          </w:p>
        </w:tc>
        <w:tc>
          <w:tcPr>
            <w:tcW w:w="1418" w:type="dxa"/>
          </w:tcPr>
          <w:p w14:paraId="1FF0A43E" w14:textId="77777777" w:rsidR="00277405" w:rsidRPr="00940884" w:rsidRDefault="000E497B" w:rsidP="00F55B1D">
            <w:pPr>
              <w:spacing w:line="360" w:lineRule="auto"/>
              <w:jc w:val="center"/>
              <w:rPr>
                <w:sz w:val="20"/>
                <w:szCs w:val="20"/>
                <w:lang w:val="en-US"/>
              </w:rPr>
            </w:pPr>
            <w:r w:rsidRPr="00940884">
              <w:rPr>
                <w:sz w:val="20"/>
                <w:szCs w:val="20"/>
                <w:lang w:val="en-US"/>
              </w:rPr>
              <w:t>39 (29.8)</w:t>
            </w:r>
          </w:p>
        </w:tc>
        <w:tc>
          <w:tcPr>
            <w:tcW w:w="882" w:type="dxa"/>
          </w:tcPr>
          <w:p w14:paraId="6DD9A8DA" w14:textId="77777777" w:rsidR="00277405" w:rsidRPr="00940884" w:rsidRDefault="000E497B" w:rsidP="00F55B1D">
            <w:pPr>
              <w:spacing w:line="360" w:lineRule="auto"/>
              <w:jc w:val="center"/>
              <w:rPr>
                <w:sz w:val="20"/>
                <w:szCs w:val="20"/>
                <w:lang w:val="en-US"/>
              </w:rPr>
            </w:pPr>
            <w:r w:rsidRPr="00940884">
              <w:rPr>
                <w:sz w:val="20"/>
                <w:szCs w:val="20"/>
                <w:lang w:val="en-US"/>
              </w:rPr>
              <w:t>0.42*</w:t>
            </w:r>
          </w:p>
        </w:tc>
      </w:tr>
      <w:tr w:rsidR="00277405" w:rsidRPr="00940884" w14:paraId="36EA6FDC" w14:textId="77777777" w:rsidTr="00F55B1D">
        <w:tc>
          <w:tcPr>
            <w:tcW w:w="1842" w:type="dxa"/>
            <w:vMerge/>
          </w:tcPr>
          <w:p w14:paraId="0656579B" w14:textId="77777777" w:rsidR="00277405" w:rsidRPr="00940884" w:rsidRDefault="00277405" w:rsidP="00F55B1D">
            <w:pPr>
              <w:spacing w:line="360" w:lineRule="auto"/>
              <w:jc w:val="both"/>
              <w:rPr>
                <w:sz w:val="20"/>
                <w:szCs w:val="20"/>
                <w:lang w:val="en-US"/>
              </w:rPr>
            </w:pPr>
          </w:p>
        </w:tc>
        <w:tc>
          <w:tcPr>
            <w:tcW w:w="3653" w:type="dxa"/>
          </w:tcPr>
          <w:p w14:paraId="396B8351" w14:textId="77777777" w:rsidR="00277405" w:rsidRPr="00940884" w:rsidRDefault="00277405" w:rsidP="00F55B1D">
            <w:pPr>
              <w:spacing w:line="360" w:lineRule="auto"/>
              <w:jc w:val="both"/>
              <w:rPr>
                <w:sz w:val="20"/>
                <w:szCs w:val="20"/>
                <w:lang w:val="en-US"/>
              </w:rPr>
            </w:pPr>
            <w:proofErr w:type="spellStart"/>
            <w:r w:rsidRPr="00940884">
              <w:rPr>
                <w:sz w:val="20"/>
                <w:szCs w:val="20"/>
                <w:lang w:val="en-US"/>
              </w:rPr>
              <w:t>mRS</w:t>
            </w:r>
            <w:proofErr w:type="spellEnd"/>
            <w:r w:rsidRPr="00940884">
              <w:rPr>
                <w:sz w:val="20"/>
                <w:szCs w:val="20"/>
                <w:lang w:val="en-US"/>
              </w:rPr>
              <w:t xml:space="preserve"> 6 (%)</w:t>
            </w:r>
          </w:p>
        </w:tc>
        <w:tc>
          <w:tcPr>
            <w:tcW w:w="1417" w:type="dxa"/>
          </w:tcPr>
          <w:p w14:paraId="6C998221" w14:textId="77777777" w:rsidR="00277405" w:rsidRPr="00940884" w:rsidRDefault="000E497B" w:rsidP="000E497B">
            <w:pPr>
              <w:spacing w:line="360" w:lineRule="auto"/>
              <w:jc w:val="center"/>
              <w:rPr>
                <w:sz w:val="20"/>
                <w:szCs w:val="20"/>
                <w:lang w:val="en-US"/>
              </w:rPr>
            </w:pPr>
            <w:r w:rsidRPr="00940884">
              <w:rPr>
                <w:sz w:val="20"/>
                <w:szCs w:val="20"/>
                <w:lang w:val="en-US"/>
              </w:rPr>
              <w:t>70</w:t>
            </w:r>
            <w:r w:rsidR="00277405" w:rsidRPr="00940884">
              <w:rPr>
                <w:sz w:val="20"/>
                <w:szCs w:val="20"/>
                <w:lang w:val="en-US"/>
              </w:rPr>
              <w:t xml:space="preserve"> (</w:t>
            </w:r>
            <w:r w:rsidRPr="00940884">
              <w:rPr>
                <w:sz w:val="20"/>
                <w:szCs w:val="20"/>
                <w:lang w:val="en-US"/>
              </w:rPr>
              <w:t>30.3</w:t>
            </w:r>
            <w:r w:rsidR="00277405" w:rsidRPr="00940884">
              <w:rPr>
                <w:sz w:val="20"/>
                <w:szCs w:val="20"/>
                <w:lang w:val="en-US"/>
              </w:rPr>
              <w:t>)</w:t>
            </w:r>
          </w:p>
        </w:tc>
        <w:tc>
          <w:tcPr>
            <w:tcW w:w="1418" w:type="dxa"/>
          </w:tcPr>
          <w:p w14:paraId="582225AC" w14:textId="77777777" w:rsidR="00277405" w:rsidRPr="00940884" w:rsidRDefault="000E497B" w:rsidP="000E497B">
            <w:pPr>
              <w:spacing w:line="360" w:lineRule="auto"/>
              <w:jc w:val="center"/>
              <w:rPr>
                <w:sz w:val="20"/>
                <w:szCs w:val="20"/>
                <w:lang w:val="en-US"/>
              </w:rPr>
            </w:pPr>
            <w:r w:rsidRPr="00940884">
              <w:rPr>
                <w:sz w:val="20"/>
                <w:szCs w:val="20"/>
                <w:lang w:val="en-US"/>
              </w:rPr>
              <w:t>41</w:t>
            </w:r>
            <w:r w:rsidR="00277405" w:rsidRPr="00940884">
              <w:rPr>
                <w:sz w:val="20"/>
                <w:szCs w:val="20"/>
                <w:lang w:val="en-US"/>
              </w:rPr>
              <w:t xml:space="preserve"> (</w:t>
            </w:r>
            <w:r w:rsidRPr="00940884">
              <w:rPr>
                <w:sz w:val="20"/>
                <w:szCs w:val="20"/>
                <w:lang w:val="en-US"/>
              </w:rPr>
              <w:t>31.3</w:t>
            </w:r>
            <w:r w:rsidR="00277405" w:rsidRPr="00940884">
              <w:rPr>
                <w:sz w:val="20"/>
                <w:szCs w:val="20"/>
                <w:lang w:val="en-US"/>
              </w:rPr>
              <w:t>)</w:t>
            </w:r>
          </w:p>
        </w:tc>
        <w:tc>
          <w:tcPr>
            <w:tcW w:w="882" w:type="dxa"/>
          </w:tcPr>
          <w:p w14:paraId="310C10BA" w14:textId="77777777" w:rsidR="00277405" w:rsidRPr="00940884" w:rsidRDefault="00277405" w:rsidP="000E497B">
            <w:pPr>
              <w:spacing w:line="360" w:lineRule="auto"/>
              <w:jc w:val="center"/>
              <w:rPr>
                <w:sz w:val="20"/>
                <w:szCs w:val="20"/>
                <w:lang w:val="en-US"/>
              </w:rPr>
            </w:pPr>
            <w:r w:rsidRPr="00940884">
              <w:rPr>
                <w:sz w:val="20"/>
                <w:szCs w:val="20"/>
                <w:lang w:val="en-US"/>
              </w:rPr>
              <w:t>0.</w:t>
            </w:r>
            <w:r w:rsidR="000E497B" w:rsidRPr="00940884">
              <w:rPr>
                <w:sz w:val="20"/>
                <w:szCs w:val="20"/>
                <w:lang w:val="en-US"/>
              </w:rPr>
              <w:t>91</w:t>
            </w:r>
            <w:r w:rsidRPr="00940884">
              <w:rPr>
                <w:sz w:val="20"/>
                <w:szCs w:val="20"/>
                <w:lang w:val="en-US"/>
              </w:rPr>
              <w:t>*</w:t>
            </w:r>
          </w:p>
        </w:tc>
      </w:tr>
      <w:tr w:rsidR="00277405" w:rsidRPr="00940884" w14:paraId="354E8E92" w14:textId="77777777" w:rsidTr="00F55B1D">
        <w:tc>
          <w:tcPr>
            <w:tcW w:w="1842" w:type="dxa"/>
            <w:vMerge/>
          </w:tcPr>
          <w:p w14:paraId="5AD21EEA" w14:textId="77777777" w:rsidR="00277405" w:rsidRPr="00940884" w:rsidRDefault="00277405" w:rsidP="00F55B1D">
            <w:pPr>
              <w:spacing w:line="360" w:lineRule="auto"/>
              <w:jc w:val="both"/>
              <w:rPr>
                <w:sz w:val="20"/>
                <w:szCs w:val="20"/>
                <w:lang w:val="en-US"/>
              </w:rPr>
            </w:pPr>
          </w:p>
        </w:tc>
        <w:tc>
          <w:tcPr>
            <w:tcW w:w="3653" w:type="dxa"/>
          </w:tcPr>
          <w:p w14:paraId="49F8E899" w14:textId="77777777" w:rsidR="00277405" w:rsidRPr="00940884" w:rsidRDefault="00277405" w:rsidP="00F55B1D">
            <w:pPr>
              <w:spacing w:line="360" w:lineRule="auto"/>
              <w:jc w:val="both"/>
              <w:rPr>
                <w:sz w:val="20"/>
                <w:szCs w:val="20"/>
                <w:lang w:val="en-US"/>
              </w:rPr>
            </w:pPr>
            <w:proofErr w:type="spellStart"/>
            <w:r w:rsidRPr="00940884">
              <w:rPr>
                <w:sz w:val="20"/>
                <w:szCs w:val="20"/>
                <w:lang w:val="en-US"/>
              </w:rPr>
              <w:t>sICH</w:t>
            </w:r>
            <w:proofErr w:type="spellEnd"/>
            <w:r w:rsidRPr="00940884">
              <w:rPr>
                <w:sz w:val="20"/>
                <w:szCs w:val="20"/>
                <w:lang w:val="en-US"/>
              </w:rPr>
              <w:t xml:space="preserve"> (%)</w:t>
            </w:r>
          </w:p>
        </w:tc>
        <w:tc>
          <w:tcPr>
            <w:tcW w:w="1417" w:type="dxa"/>
          </w:tcPr>
          <w:p w14:paraId="6D001D81" w14:textId="77777777" w:rsidR="00277405" w:rsidRPr="00940884" w:rsidRDefault="000E497B" w:rsidP="000E497B">
            <w:pPr>
              <w:spacing w:line="360" w:lineRule="auto"/>
              <w:jc w:val="center"/>
              <w:rPr>
                <w:sz w:val="20"/>
                <w:szCs w:val="20"/>
                <w:lang w:val="en-US"/>
              </w:rPr>
            </w:pPr>
            <w:r w:rsidRPr="00940884">
              <w:rPr>
                <w:sz w:val="20"/>
                <w:szCs w:val="20"/>
                <w:lang w:val="en-US"/>
              </w:rPr>
              <w:t>8</w:t>
            </w:r>
            <w:r w:rsidR="00277405" w:rsidRPr="00940884">
              <w:rPr>
                <w:sz w:val="20"/>
                <w:szCs w:val="20"/>
                <w:lang w:val="en-US"/>
              </w:rPr>
              <w:t xml:space="preserve"> (</w:t>
            </w:r>
            <w:r w:rsidRPr="00940884">
              <w:rPr>
                <w:sz w:val="20"/>
                <w:szCs w:val="20"/>
                <w:lang w:val="en-US"/>
              </w:rPr>
              <w:t>3.5</w:t>
            </w:r>
            <w:r w:rsidR="00277405" w:rsidRPr="00940884">
              <w:rPr>
                <w:sz w:val="20"/>
                <w:szCs w:val="20"/>
                <w:lang w:val="en-US"/>
              </w:rPr>
              <w:t>)</w:t>
            </w:r>
          </w:p>
        </w:tc>
        <w:tc>
          <w:tcPr>
            <w:tcW w:w="1418" w:type="dxa"/>
          </w:tcPr>
          <w:p w14:paraId="3878DB98" w14:textId="77777777" w:rsidR="00277405" w:rsidRPr="00940884" w:rsidRDefault="000E497B" w:rsidP="000E497B">
            <w:pPr>
              <w:spacing w:line="360" w:lineRule="auto"/>
              <w:jc w:val="center"/>
              <w:rPr>
                <w:sz w:val="20"/>
                <w:szCs w:val="20"/>
                <w:lang w:val="en-US"/>
              </w:rPr>
            </w:pPr>
            <w:r w:rsidRPr="00940884">
              <w:rPr>
                <w:sz w:val="20"/>
                <w:szCs w:val="20"/>
                <w:lang w:val="en-US"/>
              </w:rPr>
              <w:t>3</w:t>
            </w:r>
            <w:r w:rsidR="00277405" w:rsidRPr="00940884">
              <w:rPr>
                <w:sz w:val="20"/>
                <w:szCs w:val="20"/>
                <w:lang w:val="en-US"/>
              </w:rPr>
              <w:t xml:space="preserve"> (</w:t>
            </w:r>
            <w:r w:rsidRPr="00940884">
              <w:rPr>
                <w:sz w:val="20"/>
                <w:szCs w:val="20"/>
                <w:lang w:val="en-US"/>
              </w:rPr>
              <w:t>2.3</w:t>
            </w:r>
            <w:r w:rsidR="00277405" w:rsidRPr="00940884">
              <w:rPr>
                <w:sz w:val="20"/>
                <w:szCs w:val="20"/>
                <w:lang w:val="en-US"/>
              </w:rPr>
              <w:t>)</w:t>
            </w:r>
          </w:p>
        </w:tc>
        <w:tc>
          <w:tcPr>
            <w:tcW w:w="882" w:type="dxa"/>
          </w:tcPr>
          <w:p w14:paraId="0F8D2845" w14:textId="77777777" w:rsidR="00277405" w:rsidRPr="00940884" w:rsidRDefault="000E497B" w:rsidP="00F55B1D">
            <w:pPr>
              <w:spacing w:line="360" w:lineRule="auto"/>
              <w:jc w:val="center"/>
              <w:rPr>
                <w:sz w:val="20"/>
                <w:szCs w:val="20"/>
                <w:lang w:val="en-US"/>
              </w:rPr>
            </w:pPr>
            <w:r w:rsidRPr="00940884">
              <w:rPr>
                <w:sz w:val="20"/>
                <w:szCs w:val="20"/>
                <w:lang w:val="en-US"/>
              </w:rPr>
              <w:t>0.75</w:t>
            </w:r>
            <w:r w:rsidR="00277405" w:rsidRPr="00940884">
              <w:rPr>
                <w:sz w:val="20"/>
                <w:szCs w:val="20"/>
                <w:lang w:val="en-US"/>
              </w:rPr>
              <w:t>*</w:t>
            </w:r>
          </w:p>
        </w:tc>
      </w:tr>
    </w:tbl>
    <w:p w14:paraId="21C05706" w14:textId="77777777" w:rsidR="00277405" w:rsidRPr="00940884" w:rsidRDefault="00277405">
      <w:pPr>
        <w:rPr>
          <w:lang w:val="en-US"/>
        </w:rPr>
      </w:pPr>
    </w:p>
    <w:p w14:paraId="6AD74ECE" w14:textId="77777777" w:rsidR="000D5E90" w:rsidRPr="000D5E90" w:rsidRDefault="000D5E90" w:rsidP="000D5E90">
      <w:pPr>
        <w:spacing w:line="360" w:lineRule="auto"/>
        <w:jc w:val="both"/>
        <w:rPr>
          <w:lang w:val="en-US"/>
        </w:rPr>
      </w:pPr>
      <w:r w:rsidRPr="00940884">
        <w:rPr>
          <w:b/>
          <w:lang w:val="en-US"/>
        </w:rPr>
        <w:t xml:space="preserve">Table S1: </w:t>
      </w:r>
      <w:r w:rsidRPr="00940884">
        <w:rPr>
          <w:lang w:val="en-US"/>
        </w:rPr>
        <w:t xml:space="preserve">Patient characteristics of the </w:t>
      </w:r>
      <w:r w:rsidR="00EA6D92" w:rsidRPr="00940884">
        <w:rPr>
          <w:lang w:val="en-US"/>
        </w:rPr>
        <w:t xml:space="preserve">patients that did not meet the </w:t>
      </w:r>
      <w:proofErr w:type="spellStart"/>
      <w:r w:rsidRPr="00940884">
        <w:rPr>
          <w:lang w:val="en-US"/>
        </w:rPr>
        <w:t>HERMESlike</w:t>
      </w:r>
      <w:proofErr w:type="spellEnd"/>
      <w:r w:rsidRPr="00940884">
        <w:rPr>
          <w:lang w:val="en-US"/>
        </w:rPr>
        <w:t xml:space="preserve"> </w:t>
      </w:r>
      <w:r w:rsidR="00EA6D92" w:rsidRPr="00940884">
        <w:rPr>
          <w:lang w:val="en-US"/>
        </w:rPr>
        <w:t>criteria</w:t>
      </w:r>
      <w:r w:rsidRPr="00940884">
        <w:rPr>
          <w:lang w:val="en-US"/>
        </w:rPr>
        <w:t xml:space="preserve">: NIHSS = National Institute of Health Stroke Scale, </w:t>
      </w:r>
      <w:proofErr w:type="spellStart"/>
      <w:r w:rsidRPr="00940884">
        <w:rPr>
          <w:lang w:val="en-US"/>
        </w:rPr>
        <w:t>mRS</w:t>
      </w:r>
      <w:proofErr w:type="spellEnd"/>
      <w:r w:rsidRPr="00940884">
        <w:rPr>
          <w:lang w:val="en-US"/>
        </w:rPr>
        <w:t xml:space="preserve"> =  modified Rankin Scale, CA = carotid artery, M1/M2= M2 segment of the middle cerebral artery, MRI = Magnetic Resonance Imaging, CTP = CT Perfusion, ASPECTS = Alberta Stroke Program Early CT Score, LSW = Last seen well, </w:t>
      </w:r>
      <w:proofErr w:type="spellStart"/>
      <w:r w:rsidRPr="00940884">
        <w:rPr>
          <w:lang w:val="en-US"/>
        </w:rPr>
        <w:t>sICH</w:t>
      </w:r>
      <w:proofErr w:type="spellEnd"/>
      <w:r w:rsidRPr="00940884">
        <w:rPr>
          <w:lang w:val="en-US"/>
        </w:rPr>
        <w:t>= symptomatic Intracerebral Hemorrhage.* Chi-Square/Fisher-test, # Mann-Whitney-test, $ T-Test</w:t>
      </w:r>
    </w:p>
    <w:p w14:paraId="60F71591" w14:textId="77777777" w:rsidR="000D5E90" w:rsidRPr="00B53F24" w:rsidRDefault="000D5E90">
      <w:pPr>
        <w:rPr>
          <w:lang w:val="en-US"/>
        </w:rPr>
      </w:pPr>
    </w:p>
    <w:sectPr w:rsidR="000D5E90" w:rsidRPr="00B53F24" w:rsidSect="003153B0">
      <w:pgSz w:w="11906" w:h="16838"/>
      <w:pgMar w:top="141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F24"/>
    <w:rsid w:val="0000595A"/>
    <w:rsid w:val="0001166A"/>
    <w:rsid w:val="00020EF2"/>
    <w:rsid w:val="00025AC6"/>
    <w:rsid w:val="00036101"/>
    <w:rsid w:val="00044CA5"/>
    <w:rsid w:val="00045013"/>
    <w:rsid w:val="00094712"/>
    <w:rsid w:val="000B17C1"/>
    <w:rsid w:val="000B69A6"/>
    <w:rsid w:val="000C2E5A"/>
    <w:rsid w:val="000D5AF6"/>
    <w:rsid w:val="000D5E90"/>
    <w:rsid w:val="000E4296"/>
    <w:rsid w:val="000E497B"/>
    <w:rsid w:val="000E4F39"/>
    <w:rsid w:val="00103B89"/>
    <w:rsid w:val="00104FBF"/>
    <w:rsid w:val="00110885"/>
    <w:rsid w:val="00113EBF"/>
    <w:rsid w:val="001208A9"/>
    <w:rsid w:val="001212B7"/>
    <w:rsid w:val="001238EE"/>
    <w:rsid w:val="001312D7"/>
    <w:rsid w:val="00155BE1"/>
    <w:rsid w:val="00166402"/>
    <w:rsid w:val="00171B36"/>
    <w:rsid w:val="00174321"/>
    <w:rsid w:val="001762C3"/>
    <w:rsid w:val="001822A5"/>
    <w:rsid w:val="00193932"/>
    <w:rsid w:val="001A7A52"/>
    <w:rsid w:val="001A7D34"/>
    <w:rsid w:val="001C6393"/>
    <w:rsid w:val="001C6E37"/>
    <w:rsid w:val="001D0A87"/>
    <w:rsid w:val="001F31ED"/>
    <w:rsid w:val="00200562"/>
    <w:rsid w:val="002333E9"/>
    <w:rsid w:val="00246905"/>
    <w:rsid w:val="0026185D"/>
    <w:rsid w:val="002650F4"/>
    <w:rsid w:val="00270A7B"/>
    <w:rsid w:val="002725BE"/>
    <w:rsid w:val="00277405"/>
    <w:rsid w:val="00277C54"/>
    <w:rsid w:val="00281A26"/>
    <w:rsid w:val="0028460D"/>
    <w:rsid w:val="00291EDF"/>
    <w:rsid w:val="002B7BE4"/>
    <w:rsid w:val="002D2B94"/>
    <w:rsid w:val="002D4FA9"/>
    <w:rsid w:val="002D6B51"/>
    <w:rsid w:val="002E2457"/>
    <w:rsid w:val="002E3A6E"/>
    <w:rsid w:val="002E4862"/>
    <w:rsid w:val="003111E4"/>
    <w:rsid w:val="00312F79"/>
    <w:rsid w:val="003153B0"/>
    <w:rsid w:val="003222FA"/>
    <w:rsid w:val="00325A62"/>
    <w:rsid w:val="00330F1C"/>
    <w:rsid w:val="00354B42"/>
    <w:rsid w:val="00363507"/>
    <w:rsid w:val="003957BA"/>
    <w:rsid w:val="003964EB"/>
    <w:rsid w:val="003A4214"/>
    <w:rsid w:val="003B61DD"/>
    <w:rsid w:val="003C0F93"/>
    <w:rsid w:val="003C564B"/>
    <w:rsid w:val="003C716B"/>
    <w:rsid w:val="003C7AC6"/>
    <w:rsid w:val="003D5A49"/>
    <w:rsid w:val="003D5AED"/>
    <w:rsid w:val="003E1054"/>
    <w:rsid w:val="003E5C74"/>
    <w:rsid w:val="003F7DC6"/>
    <w:rsid w:val="004236EC"/>
    <w:rsid w:val="0046690B"/>
    <w:rsid w:val="004B36A9"/>
    <w:rsid w:val="004B3DBE"/>
    <w:rsid w:val="004C6451"/>
    <w:rsid w:val="004D2816"/>
    <w:rsid w:val="004E7F22"/>
    <w:rsid w:val="004F0D8C"/>
    <w:rsid w:val="0051395F"/>
    <w:rsid w:val="00523429"/>
    <w:rsid w:val="00547006"/>
    <w:rsid w:val="0055175F"/>
    <w:rsid w:val="00563167"/>
    <w:rsid w:val="005910E7"/>
    <w:rsid w:val="00593612"/>
    <w:rsid w:val="00595535"/>
    <w:rsid w:val="005964E8"/>
    <w:rsid w:val="005B6488"/>
    <w:rsid w:val="005C259E"/>
    <w:rsid w:val="005C5A2D"/>
    <w:rsid w:val="005C68F8"/>
    <w:rsid w:val="005C7FC2"/>
    <w:rsid w:val="005F64BC"/>
    <w:rsid w:val="005F6B7A"/>
    <w:rsid w:val="006032AA"/>
    <w:rsid w:val="00603795"/>
    <w:rsid w:val="00604CC2"/>
    <w:rsid w:val="00615F67"/>
    <w:rsid w:val="00621372"/>
    <w:rsid w:val="00621986"/>
    <w:rsid w:val="00626427"/>
    <w:rsid w:val="00643FE1"/>
    <w:rsid w:val="006463DA"/>
    <w:rsid w:val="00650911"/>
    <w:rsid w:val="00651B1E"/>
    <w:rsid w:val="00655069"/>
    <w:rsid w:val="00667623"/>
    <w:rsid w:val="0068085D"/>
    <w:rsid w:val="006909E0"/>
    <w:rsid w:val="006A44D0"/>
    <w:rsid w:val="006A7F09"/>
    <w:rsid w:val="006D2D06"/>
    <w:rsid w:val="006D6702"/>
    <w:rsid w:val="007029EF"/>
    <w:rsid w:val="00713718"/>
    <w:rsid w:val="00727A59"/>
    <w:rsid w:val="0074043C"/>
    <w:rsid w:val="00750E7F"/>
    <w:rsid w:val="00751109"/>
    <w:rsid w:val="007619AD"/>
    <w:rsid w:val="007742BC"/>
    <w:rsid w:val="00776756"/>
    <w:rsid w:val="00777051"/>
    <w:rsid w:val="007B5412"/>
    <w:rsid w:val="007C0130"/>
    <w:rsid w:val="007D104E"/>
    <w:rsid w:val="007D72ED"/>
    <w:rsid w:val="007E4BBF"/>
    <w:rsid w:val="007E5833"/>
    <w:rsid w:val="007F1AE0"/>
    <w:rsid w:val="007F224C"/>
    <w:rsid w:val="0080514F"/>
    <w:rsid w:val="00807C39"/>
    <w:rsid w:val="00820A94"/>
    <w:rsid w:val="00842BF1"/>
    <w:rsid w:val="008460E2"/>
    <w:rsid w:val="00866ED2"/>
    <w:rsid w:val="0088639D"/>
    <w:rsid w:val="00886415"/>
    <w:rsid w:val="008A2311"/>
    <w:rsid w:val="008A28B0"/>
    <w:rsid w:val="008A71D8"/>
    <w:rsid w:val="008B35C5"/>
    <w:rsid w:val="008C4D41"/>
    <w:rsid w:val="008E4DE9"/>
    <w:rsid w:val="008F0D9F"/>
    <w:rsid w:val="008F22BF"/>
    <w:rsid w:val="00940884"/>
    <w:rsid w:val="00950DD2"/>
    <w:rsid w:val="0097520F"/>
    <w:rsid w:val="00983713"/>
    <w:rsid w:val="00997D8B"/>
    <w:rsid w:val="009A4F22"/>
    <w:rsid w:val="009B1EB4"/>
    <w:rsid w:val="009B3EE0"/>
    <w:rsid w:val="009F09B6"/>
    <w:rsid w:val="00A03A39"/>
    <w:rsid w:val="00A07A4B"/>
    <w:rsid w:val="00A155F2"/>
    <w:rsid w:val="00A23811"/>
    <w:rsid w:val="00A250AF"/>
    <w:rsid w:val="00A26515"/>
    <w:rsid w:val="00A33440"/>
    <w:rsid w:val="00A33E2F"/>
    <w:rsid w:val="00A43290"/>
    <w:rsid w:val="00A43EA7"/>
    <w:rsid w:val="00A53688"/>
    <w:rsid w:val="00A640CF"/>
    <w:rsid w:val="00A646CD"/>
    <w:rsid w:val="00A66333"/>
    <w:rsid w:val="00A741D4"/>
    <w:rsid w:val="00A91A8C"/>
    <w:rsid w:val="00AA3A08"/>
    <w:rsid w:val="00AA3D0B"/>
    <w:rsid w:val="00AB7D64"/>
    <w:rsid w:val="00B006FC"/>
    <w:rsid w:val="00B174FF"/>
    <w:rsid w:val="00B26614"/>
    <w:rsid w:val="00B32BA6"/>
    <w:rsid w:val="00B33101"/>
    <w:rsid w:val="00B36D47"/>
    <w:rsid w:val="00B37EC3"/>
    <w:rsid w:val="00B53F24"/>
    <w:rsid w:val="00B56CDE"/>
    <w:rsid w:val="00B82358"/>
    <w:rsid w:val="00B96923"/>
    <w:rsid w:val="00BA0FBF"/>
    <w:rsid w:val="00BA3C6B"/>
    <w:rsid w:val="00BB5411"/>
    <w:rsid w:val="00BC3E0E"/>
    <w:rsid w:val="00BC6D91"/>
    <w:rsid w:val="00BE0EA6"/>
    <w:rsid w:val="00C01DC0"/>
    <w:rsid w:val="00C02E2C"/>
    <w:rsid w:val="00C06628"/>
    <w:rsid w:val="00C066E9"/>
    <w:rsid w:val="00C15A87"/>
    <w:rsid w:val="00C41A0B"/>
    <w:rsid w:val="00C43D7B"/>
    <w:rsid w:val="00C57934"/>
    <w:rsid w:val="00C666F1"/>
    <w:rsid w:val="00C679B2"/>
    <w:rsid w:val="00C75EB3"/>
    <w:rsid w:val="00C767F4"/>
    <w:rsid w:val="00CA0DC9"/>
    <w:rsid w:val="00CA34AF"/>
    <w:rsid w:val="00CB03D6"/>
    <w:rsid w:val="00CB585A"/>
    <w:rsid w:val="00CF2361"/>
    <w:rsid w:val="00CF38B7"/>
    <w:rsid w:val="00CF73DC"/>
    <w:rsid w:val="00D01110"/>
    <w:rsid w:val="00D0245A"/>
    <w:rsid w:val="00D04264"/>
    <w:rsid w:val="00D107C5"/>
    <w:rsid w:val="00D21451"/>
    <w:rsid w:val="00D2489E"/>
    <w:rsid w:val="00D76929"/>
    <w:rsid w:val="00D85621"/>
    <w:rsid w:val="00DE26D0"/>
    <w:rsid w:val="00DF1728"/>
    <w:rsid w:val="00E05DBE"/>
    <w:rsid w:val="00E0652A"/>
    <w:rsid w:val="00E23102"/>
    <w:rsid w:val="00E24BBD"/>
    <w:rsid w:val="00E37C5A"/>
    <w:rsid w:val="00E42649"/>
    <w:rsid w:val="00E4283D"/>
    <w:rsid w:val="00E4557F"/>
    <w:rsid w:val="00E47835"/>
    <w:rsid w:val="00E6233C"/>
    <w:rsid w:val="00E62564"/>
    <w:rsid w:val="00E67967"/>
    <w:rsid w:val="00E75AE6"/>
    <w:rsid w:val="00E835B4"/>
    <w:rsid w:val="00EA51D1"/>
    <w:rsid w:val="00EA6D92"/>
    <w:rsid w:val="00EB7402"/>
    <w:rsid w:val="00EC061D"/>
    <w:rsid w:val="00EC490D"/>
    <w:rsid w:val="00ED4400"/>
    <w:rsid w:val="00F0428B"/>
    <w:rsid w:val="00F115CF"/>
    <w:rsid w:val="00F12809"/>
    <w:rsid w:val="00F203EB"/>
    <w:rsid w:val="00F21CDB"/>
    <w:rsid w:val="00F2450F"/>
    <w:rsid w:val="00F2509D"/>
    <w:rsid w:val="00F307A3"/>
    <w:rsid w:val="00F35231"/>
    <w:rsid w:val="00F478FF"/>
    <w:rsid w:val="00F5274F"/>
    <w:rsid w:val="00F53F55"/>
    <w:rsid w:val="00F817A0"/>
    <w:rsid w:val="00F92B0C"/>
    <w:rsid w:val="00FA74ED"/>
    <w:rsid w:val="00FB02E1"/>
    <w:rsid w:val="00FB090A"/>
    <w:rsid w:val="00FB4C7D"/>
    <w:rsid w:val="00FC0D8E"/>
    <w:rsid w:val="00FE4BDC"/>
    <w:rsid w:val="00FE7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539C"/>
  <w15:docId w15:val="{E0A8D701-F385-4F84-BBA6-2B8BF584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F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40CF"/>
    <w:rPr>
      <w:rFonts w:ascii="Tahoma" w:hAnsi="Tahoma" w:cs="Tahoma"/>
      <w:sz w:val="16"/>
      <w:szCs w:val="16"/>
    </w:rPr>
  </w:style>
  <w:style w:type="character" w:customStyle="1" w:styleId="BalloonTextChar">
    <w:name w:val="Balloon Text Char"/>
    <w:basedOn w:val="DefaultParagraphFont"/>
    <w:link w:val="BalloonText"/>
    <w:rsid w:val="00A64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Nagel, Simon</dc:creator>
  <cp:lastModifiedBy>Ashkan Malayeri</cp:lastModifiedBy>
  <cp:revision>5</cp:revision>
  <dcterms:created xsi:type="dcterms:W3CDTF">2018-09-11T08:47:00Z</dcterms:created>
  <dcterms:modified xsi:type="dcterms:W3CDTF">2018-10-03T14:25:00Z</dcterms:modified>
</cp:coreProperties>
</file>